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6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30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15d-16 OF THE SECURITIES EXCHANGE ACT OF 1934</w:t>
      </w:r>
    </w:p>
    <w:p>
      <w:pPr>
        <w:spacing w:after="0" w:line="26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DATE OF REPORT: JULY 1, 2008</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001-33373</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63" w:lineRule="exact"/>
        <w:rPr>
          <w:sz w:val="24"/>
          <w:szCs w:val="24"/>
          <w:color w:val="auto"/>
        </w:rPr>
      </w:pPr>
    </w:p>
    <w:p>
      <w:pPr>
        <w:jc w:val="center"/>
        <w:ind w:right="-779"/>
        <w:spacing w:after="0"/>
        <w:rPr>
          <w:sz w:val="20"/>
          <w:szCs w:val="20"/>
          <w:color w:val="auto"/>
        </w:rPr>
      </w:pPr>
      <w:r>
        <w:rPr>
          <w:rFonts w:ascii="Arial" w:cs="Arial" w:eastAsia="Arial" w:hAnsi="Arial"/>
          <w:sz w:val="43"/>
          <w:szCs w:val="43"/>
          <w:b w:val="1"/>
          <w:bCs w:val="1"/>
          <w:color w:val="auto"/>
        </w:rPr>
        <w:t>CAPITAL PRODUCT PARTNERS L.P.</w:t>
      </w:r>
    </w:p>
    <w:p>
      <w:pPr>
        <w:spacing w:after="0" w:line="64"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6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3 IASSONOS STREET</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PIRAEUS, 18537 GREECE</w:t>
      </w:r>
    </w:p>
    <w:p>
      <w:pPr>
        <w:spacing w:after="0" w:line="26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 w:lineRule="exact"/>
        <w:rPr>
          <w:sz w:val="24"/>
          <w:szCs w:val="24"/>
          <w:color w:val="auto"/>
        </w:rPr>
      </w:pPr>
    </w:p>
    <w:p>
      <w:pPr>
        <w:spacing w:after="0" w:line="207" w:lineRule="exact"/>
        <w:tabs>
          <w:tab w:leader="none" w:pos="2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8" w:lineRule="exact"/>
        <w:rPr>
          <w:sz w:val="24"/>
          <w:szCs w:val="24"/>
          <w:color w:val="auto"/>
        </w:rPr>
      </w:pPr>
    </w:p>
    <w:p>
      <w:pPr>
        <w:spacing w:after="0" w:line="207" w:lineRule="exact"/>
        <w:tabs>
          <w:tab w:leader="none" w:pos="1900" w:val="left"/>
          <w:tab w:leader="none" w:pos="2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8" w:lineRule="exact"/>
        <w:rPr>
          <w:sz w:val="24"/>
          <w:szCs w:val="24"/>
          <w:color w:val="auto"/>
        </w:rPr>
      </w:pPr>
    </w:p>
    <w:p>
      <w:pPr>
        <w:spacing w:after="0" w:line="207" w:lineRule="exact"/>
        <w:tabs>
          <w:tab w:leader="none" w:pos="1900" w:val="left"/>
          <w:tab w:leader="none" w:pos="2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this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9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 Information Contained in this Form 6-K Report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Attached as Exhibit I is a copy of a letter to the Limited Partners of Capital Product Partners L.P., dated 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6350</wp:posOffset>
            </wp:positionV>
            <wp:extent cx="2324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Ioannis E. Lazaridis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Executive Officer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 of Capital GP L.L.C.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Dated: 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189230</wp:posOffset>
            </wp:positionV>
            <wp:extent cx="2015490" cy="711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549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THE LIMITED PARTNERS OF CAPITAL PRODUCT PARTNERS, L.P.</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Enclosed is a Notice of the Annual Meeting of the Limited Partners of Capital Product Partners, L.P. (the </w:t>
      </w:r>
      <w:r>
        <w:rPr>
          <w:rFonts w:ascii="Arial" w:cs="Arial" w:eastAsia="Arial" w:hAnsi="Arial"/>
          <w:sz w:val="18"/>
          <w:szCs w:val="18"/>
          <w:i w:val="1"/>
          <w:iCs w:val="1"/>
          <w:color w:val="auto"/>
        </w:rPr>
        <w:t>“Company”</w:t>
      </w:r>
      <w:r>
        <w:rPr>
          <w:rFonts w:ascii="Arial" w:cs="Arial" w:eastAsia="Arial" w:hAnsi="Arial"/>
          <w:sz w:val="18"/>
          <w:szCs w:val="18"/>
          <w:color w:val="auto"/>
        </w:rPr>
        <w:t>) which will be held at 3 Iassonos Str., 18 537 Piraeus, Greece, on July 25, 2008, at 10:00 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this Annual Meeting (the </w:t>
      </w:r>
      <w:r>
        <w:rPr>
          <w:rFonts w:ascii="Arial" w:cs="Arial" w:eastAsia="Arial" w:hAnsi="Arial"/>
          <w:sz w:val="18"/>
          <w:szCs w:val="18"/>
          <w:i w:val="1"/>
          <w:iCs w:val="1"/>
          <w:color w:val="auto"/>
        </w:rPr>
        <w:t>“Meeting”</w:t>
      </w:r>
      <w:r>
        <w:rPr>
          <w:rFonts w:ascii="Arial" w:cs="Arial" w:eastAsia="Arial" w:hAnsi="Arial"/>
          <w:sz w:val="18"/>
          <w:szCs w:val="18"/>
          <w:color w:val="auto"/>
        </w:rPr>
        <w:t>), Limited Partners of the Company will consider and vote upon proposals:</w:t>
      </w:r>
    </w:p>
    <w:p>
      <w:pPr>
        <w:spacing w:after="0" w:line="279" w:lineRule="exact"/>
        <w:rPr>
          <w:sz w:val="20"/>
          <w:szCs w:val="20"/>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one Class I Director to serve until the 2011 Annual Meeting of Limited Partners (</w:t>
      </w:r>
      <w:r>
        <w:rPr>
          <w:rFonts w:ascii="Arial" w:cs="Arial" w:eastAsia="Arial" w:hAnsi="Arial"/>
          <w:sz w:val="18"/>
          <w:szCs w:val="18"/>
          <w:i w:val="1"/>
          <w:iCs w:val="1"/>
          <w:color w:val="auto"/>
        </w:rPr>
        <w:t>“Proposal One”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920" w:right="100" w:hanging="453"/>
        <w:spacing w:after="0" w:line="286" w:lineRule="auto"/>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adoption of an amendment to the Company’s First Amended and Restated Agreement of Limited Partnership establishing that, if a quorum has not been obtained after two attempts at any meeting of Limited Partners of the Company, then any votes present at the third convened meeting will be deemed to constitute a quorum (See meeting notice for further information) (</w:t>
      </w:r>
      <w:r>
        <w:rPr>
          <w:rFonts w:ascii="Arial" w:cs="Arial" w:eastAsia="Arial" w:hAnsi="Arial"/>
          <w:sz w:val="17"/>
          <w:szCs w:val="17"/>
          <w:i w:val="1"/>
          <w:iCs w:val="1"/>
          <w:color w:val="auto"/>
        </w:rPr>
        <w:t>“Proposal Two”</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other such business as may properly come before the meeting or any adjournment thereof.</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Adoption of Proposal One requires the affirmative vote of a plurality of the common units represented at the Meeting, excluding common units owned by Capital Maritime &amp; Trading Corp. or its affiliates.</w:t>
      </w:r>
    </w:p>
    <w:p>
      <w:pPr>
        <w:spacing w:after="0" w:line="22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Adoption of Proposal Two requires the affirmative vote of a majority of the outstanding common units, (excluding common units owned by the general partner of the Company or its affiliates), and the affirmative vote of a majority of the outstanding subordinated units represented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You are cordially invited to attend the Meeting in person. If you attend the Meeting, you may revoke your proxy and vote your shares in person.</w:t>
      </w:r>
    </w:p>
    <w:p>
      <w:pPr>
        <w:spacing w:after="0" w:line="275"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b w:val="1"/>
          <w:bCs w:val="1"/>
          <w:color w:val="auto"/>
        </w:rPr>
        <w:t>IT IS IMPORTANT TO VOTE. WHETHER OR NOT YOU PLAN TO ATTEND THE MEETING, PLEASE COMPLETE, DATE, SIGN AND RETURN THE ENCLOSED PROXY IN THE ENCLOSED ENVELOPE, WHICH DOES NOT REQUIRE POSTAGE IF MAILED IN THE UNITED STATES. THE VOTE OF EVERY LIMITED PARTNER IS IMPORTANT AND YOUR COOPERATION IN RETURNING YOUR EXECUTED PROXY PROMPTLY WILL BE APPRECIATED. ANY SIGNED PROXY RETURNED AND NOT COMPLETED WILL BE VOTED IN FAVOR OF ALL THE PROPOSALS PRESENTED IN THE PROXY STATEMENT.</w:t>
      </w:r>
    </w:p>
    <w:p>
      <w:pPr>
        <w:spacing w:after="0" w:line="24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Ioannis E. Lazaridis</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Executive Officer and Chief Financial</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Officer of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431800</wp:posOffset>
            </wp:positionV>
            <wp:extent cx="2015490" cy="71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15490" cy="7118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LIMITED PARTNERS</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July 1, 2008</w:t>
      </w:r>
    </w:p>
    <w:p>
      <w:pPr>
        <w:spacing w:after="0" w:line="2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NOTICE IS HEREBY given that the Annual Meeting of the Limited Partners of Capital Product Partners, L.P. (the </w:t>
      </w:r>
      <w:r>
        <w:rPr>
          <w:rFonts w:ascii="Arial" w:cs="Arial" w:eastAsia="Arial" w:hAnsi="Arial"/>
          <w:sz w:val="18"/>
          <w:szCs w:val="18"/>
          <w:i w:val="1"/>
          <w:iCs w:val="1"/>
          <w:color w:val="auto"/>
        </w:rPr>
        <w:t>“Company”</w:t>
      </w:r>
      <w:r>
        <w:rPr>
          <w:rFonts w:ascii="Arial" w:cs="Arial" w:eastAsia="Arial" w:hAnsi="Arial"/>
          <w:sz w:val="18"/>
          <w:szCs w:val="18"/>
          <w:color w:val="auto"/>
        </w:rPr>
        <w:t>) will be held at 3 Iassonos Str., 18 537 Piraeus, Greece, on July 25, 2008, at 10:00 a.m. for the following purposes, of which items 1 and 2 are more completely set forth in the accompanying Proxy Statement:</w:t>
      </w:r>
    </w:p>
    <w:p>
      <w:pPr>
        <w:spacing w:after="0" w:line="200" w:lineRule="exact"/>
        <w:rPr>
          <w:sz w:val="20"/>
          <w:szCs w:val="20"/>
          <w:color w:val="auto"/>
        </w:rPr>
      </w:pPr>
    </w:p>
    <w:p>
      <w:pPr>
        <w:spacing w:after="0" w:line="305" w:lineRule="exact"/>
        <w:rPr>
          <w:sz w:val="20"/>
          <w:szCs w:val="20"/>
          <w:color w:val="auto"/>
        </w:rPr>
      </w:pPr>
    </w:p>
    <w:p>
      <w:pPr>
        <w:ind w:left="1040" w:hanging="45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one Class I Director to serve until the 2011 Annual Meeting of Limited Partners (</w:t>
      </w:r>
      <w:r>
        <w:rPr>
          <w:rFonts w:ascii="Arial" w:cs="Arial" w:eastAsia="Arial" w:hAnsi="Arial"/>
          <w:sz w:val="18"/>
          <w:szCs w:val="18"/>
          <w:i w:val="1"/>
          <w:iCs w:val="1"/>
          <w:color w:val="auto"/>
        </w:rPr>
        <w:t>“Proposal One”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040" w:right="60" w:hanging="451"/>
        <w:spacing w:after="0" w:line="31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the adoption of an amendment to the Company’s First Amended and Restated Agreement of Limited Partnership establishing that, if a quorum has not been obtained after two attempts at any meeting of Limited Partners of the Company, then any votes present at the third convened meeting will be deemed to constitute a quorum (See meeting notice for further information) (</w:t>
      </w:r>
      <w:r>
        <w:rPr>
          <w:rFonts w:ascii="Arial" w:cs="Arial" w:eastAsia="Arial" w:hAnsi="Arial"/>
          <w:sz w:val="16"/>
          <w:szCs w:val="16"/>
          <w:i w:val="1"/>
          <w:iCs w:val="1"/>
          <w:color w:val="auto"/>
        </w:rPr>
        <w:t>“Proposal Two”</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1040" w:hanging="45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other such business as may properly come before the meeting or any adjournment thereof.</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Board of Directors has fixed the close of business on June 27, 2008 as the record date for the determination of the Limited Partners entitled to receive notice and to vote at the Annual Meeting or any adjournment thereof.</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IT IS IMPORTANT TO VOTE. WHETHER OR NOT YOU PLAN TO ATTEND THE ANNUAL MEETING, PLEASE COMPLETE, DATE, SIGN AND RETURN THE ENCLOSED PROXY IN THE ENCLOSED ENVELOPE, WHICH DOES NOT REQUIRE POSTAGE IF MAILED IN THE UNITED STATES. THE VOTE OF EVERY LIMITED PARTNER IS IMPORTANT AND YOUR COOPERATION IN RETURNING YOUR EXECUTED PROXY PROMPTLY WILL BE APPRECIATED. ANY SIGNED PROXY RETURNED AND NOT COMPLETED WILL BE VOTED IN FAVOR OF ALL THE PROPOSALS PRESENTED IN THE PROXY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If you attend the Meeting, you may revoke your proxy and vote in person.</w:t>
      </w:r>
    </w:p>
    <w:p>
      <w:pPr>
        <w:spacing w:after="0" w:line="279" w:lineRule="exact"/>
        <w:rPr>
          <w:sz w:val="20"/>
          <w:szCs w:val="20"/>
          <w:color w:val="auto"/>
        </w:rPr>
      </w:pPr>
    </w:p>
    <w:p>
      <w:pPr>
        <w:jc w:val="center"/>
        <w:ind w:left="7700"/>
        <w:spacing w:after="0"/>
        <w:rPr>
          <w:sz w:val="20"/>
          <w:szCs w:val="20"/>
          <w:color w:val="auto"/>
        </w:rPr>
      </w:pPr>
      <w:r>
        <w:rPr>
          <w:rFonts w:ascii="Arial" w:cs="Arial" w:eastAsia="Arial" w:hAnsi="Arial"/>
          <w:sz w:val="17"/>
          <w:szCs w:val="17"/>
          <w:color w:val="auto"/>
        </w:rPr>
        <w:t>BY ORDER OF THE BOARD OF DIRECTORS</w:t>
      </w:r>
    </w:p>
    <w:p>
      <w:pPr>
        <w:spacing w:after="0" w:line="237"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Ioannis E. Lazaridis</w:t>
      </w:r>
    </w:p>
    <w:p>
      <w:pPr>
        <w:spacing w:after="0" w:line="23" w:lineRule="exact"/>
        <w:rPr>
          <w:sz w:val="20"/>
          <w:szCs w:val="20"/>
          <w:color w:val="auto"/>
        </w:rPr>
      </w:pPr>
    </w:p>
    <w:p>
      <w:pPr>
        <w:jc w:val="center"/>
        <w:ind w:left="7780"/>
        <w:spacing w:after="0"/>
        <w:rPr>
          <w:sz w:val="20"/>
          <w:szCs w:val="20"/>
          <w:color w:val="auto"/>
        </w:rPr>
      </w:pPr>
      <w:r>
        <w:rPr>
          <w:rFonts w:ascii="Arial" w:cs="Arial" w:eastAsia="Arial" w:hAnsi="Arial"/>
          <w:sz w:val="18"/>
          <w:szCs w:val="18"/>
          <w:i w:val="1"/>
          <w:iCs w:val="1"/>
          <w:color w:val="auto"/>
        </w:rPr>
        <w:t>Chief Executive Officer and Chief Financial</w:t>
      </w:r>
    </w:p>
    <w:p>
      <w:pPr>
        <w:spacing w:after="0" w:line="9" w:lineRule="exact"/>
        <w:rPr>
          <w:sz w:val="20"/>
          <w:szCs w:val="20"/>
          <w:color w:val="auto"/>
        </w:rPr>
      </w:pPr>
    </w:p>
    <w:p>
      <w:pPr>
        <w:jc w:val="center"/>
        <w:ind w:left="7780"/>
        <w:spacing w:after="0"/>
        <w:rPr>
          <w:sz w:val="20"/>
          <w:szCs w:val="20"/>
          <w:color w:val="auto"/>
        </w:rPr>
      </w:pPr>
      <w:r>
        <w:rPr>
          <w:rFonts w:ascii="Arial" w:cs="Arial" w:eastAsia="Arial" w:hAnsi="Arial"/>
          <w:sz w:val="18"/>
          <w:szCs w:val="18"/>
          <w:i w:val="1"/>
          <w:iCs w:val="1"/>
          <w:color w:val="auto"/>
        </w:rPr>
        <w:t>Officer of</w:t>
      </w:r>
    </w:p>
    <w:p>
      <w:pPr>
        <w:spacing w:after="0" w:line="9" w:lineRule="exact"/>
        <w:rPr>
          <w:sz w:val="20"/>
          <w:szCs w:val="20"/>
          <w:color w:val="auto"/>
        </w:rPr>
      </w:pPr>
    </w:p>
    <w:p>
      <w:pPr>
        <w:jc w:val="center"/>
        <w:ind w:left="7780"/>
        <w:spacing w:after="0"/>
        <w:rPr>
          <w:sz w:val="20"/>
          <w:szCs w:val="20"/>
          <w:color w:val="auto"/>
        </w:rPr>
      </w:pPr>
      <w:r>
        <w:rPr>
          <w:rFonts w:ascii="Arial" w:cs="Arial" w:eastAsia="Arial" w:hAnsi="Arial"/>
          <w:sz w:val="18"/>
          <w:szCs w:val="18"/>
          <w:i w:val="1"/>
          <w:iCs w:val="1"/>
          <w:color w:val="auto"/>
        </w:rPr>
        <w:t>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543560</wp:posOffset>
            </wp:positionV>
            <wp:extent cx="2015490" cy="711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15490" cy="71183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 IASSONOS STR.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18 537 PIRAEUS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GREECE</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LIMITED PARTNERS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25, 2008</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________________________</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7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The enclosed proxy is solicited on behalf of the Board of Directors (the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of Capital Product Partners, L.P., a Marshall Islands limited partnership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for use at the Annual Meeting of Limited Partners to be held at 3 Iassonos Str., 18 537 Piraeus, Greece, on July 25, 2008, at 10:00 a.m., or at any adjournment or postponement thereof (the </w:t>
      </w:r>
      <w:r>
        <w:rPr>
          <w:rFonts w:ascii="Arial" w:cs="Arial" w:eastAsia="Arial" w:hAnsi="Arial"/>
          <w:sz w:val="18"/>
          <w:szCs w:val="18"/>
          <w:i w:val="1"/>
          <w:iCs w:val="1"/>
          <w:color w:val="auto"/>
        </w:rPr>
        <w:t>“Meeting”</w:t>
      </w:r>
      <w:r>
        <w:rPr>
          <w:rFonts w:ascii="Arial" w:cs="Arial" w:eastAsia="Arial" w:hAnsi="Arial"/>
          <w:sz w:val="18"/>
          <w:szCs w:val="18"/>
          <w:color w:val="auto"/>
        </w:rPr>
        <w:t>), for the purposes set forth herein and in the accompanying Notice of Annual Meeting of Limited Partners. This Proxy Statement and the accompanying form of proxy are expected to be mailed to Limited Partners of the Company entitled to vote at the Meeting on or about July 3, 2008.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RIGHTS AND OUTSTANDING SHARES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June 27, 2008 (the </w:t>
      </w:r>
      <w:r>
        <w:rPr>
          <w:rFonts w:ascii="Arial" w:cs="Arial" w:eastAsia="Arial" w:hAnsi="Arial"/>
          <w:sz w:val="16"/>
          <w:szCs w:val="16"/>
          <w:i w:val="1"/>
          <w:iCs w:val="1"/>
          <w:color w:val="auto"/>
        </w:rPr>
        <w:t>“Record Date”</w:t>
      </w:r>
      <w:r>
        <w:rPr>
          <w:rFonts w:ascii="Arial" w:cs="Arial" w:eastAsia="Arial" w:hAnsi="Arial"/>
          <w:sz w:val="16"/>
          <w:szCs w:val="16"/>
          <w:color w:val="auto"/>
        </w:rPr>
        <w:t xml:space="preserve">), the Company had outstanding 16,011,629 common units (the </w:t>
      </w:r>
      <w:r>
        <w:rPr>
          <w:rFonts w:ascii="Arial" w:cs="Arial" w:eastAsia="Arial" w:hAnsi="Arial"/>
          <w:sz w:val="16"/>
          <w:szCs w:val="16"/>
          <w:i w:val="1"/>
          <w:iCs w:val="1"/>
          <w:color w:val="auto"/>
        </w:rPr>
        <w:t>“Common Units”</w:t>
      </w:r>
      <w:r>
        <w:rPr>
          <w:rFonts w:ascii="Arial" w:cs="Arial" w:eastAsia="Arial" w:hAnsi="Arial"/>
          <w:sz w:val="16"/>
          <w:szCs w:val="16"/>
          <w:color w:val="auto"/>
        </w:rPr>
        <w:t>), 8,805,522 subordinated units (the “Subordinated Units”) and 506,472 general partner units. Each Limited Partner of record at the close of business on the Record Date is entitled to one vote for each Common Unit, and, for purposes of Proposal Two, each Subordinated Unit. One or more Limited Partners holding at least a majority of the total voting rights of the Company represented in person or by proxy at the Meeting shall be a quorum for the purposes of the Meeting. The Common Units, and for purposes of Proposal Two, the Subordinated Units, represented by any proxy in the enclosed form will be voted in accordance with the instructions given on the proxy if the proxy is properly executed and is received by the Company prior to the close of voting at the Meeting or any adjournment or postponement thereof. Any proxies returned without instructions will be voted FOR the proposals set forth on the Notice of Annual Meeting of Limited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Common Units are listed on the Nasdaq Global Market (</w:t>
      </w:r>
      <w:r>
        <w:rPr>
          <w:rFonts w:ascii="Arial" w:cs="Arial" w:eastAsia="Arial" w:hAnsi="Arial"/>
          <w:sz w:val="18"/>
          <w:szCs w:val="18"/>
          <w:i w:val="1"/>
          <w:iCs w:val="1"/>
          <w:color w:val="auto"/>
        </w:rPr>
        <w:t>“Nasdaq”</w:t>
      </w:r>
      <w:r>
        <w:rPr>
          <w:rFonts w:ascii="Arial" w:cs="Arial" w:eastAsia="Arial" w:hAnsi="Arial"/>
          <w:sz w:val="18"/>
          <w:szCs w:val="18"/>
          <w:color w:val="auto"/>
        </w:rPr>
        <w:t xml:space="preserve">) under the symbol </w:t>
      </w:r>
      <w:r>
        <w:rPr>
          <w:rFonts w:ascii="Arial" w:cs="Arial" w:eastAsia="Arial" w:hAnsi="Arial"/>
          <w:sz w:val="18"/>
          <w:szCs w:val="18"/>
          <w:i w:val="1"/>
          <w:iCs w:val="1"/>
          <w:color w:val="auto"/>
        </w:rPr>
        <w:t>“CPLP.”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REVOCABILITY OF PROXIES</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Limited Partner giving a proxy may revoke it at any time before it is exercised. A proxy may be revoked by filing with the Secretary of the Company at the Company’s registered office, at 3 Iassonos Str., 18 537 Piraeus, Greece a written notice of revocation by a duly executed proxy bearing a later date,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448310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ANNUAL REPORT AND OTHER MATERIALS FOR MEETING</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Annual Report for the year ended December 31, 2007 and copies of the materials for our Annual General Meeting of Limited Partners are available on our website at </w:t>
      </w:r>
      <w:r>
        <w:rPr>
          <w:rFonts w:ascii="Arial" w:cs="Arial" w:eastAsia="Arial" w:hAnsi="Arial"/>
          <w:sz w:val="18"/>
          <w:szCs w:val="18"/>
          <w:u w:val="single" w:color="auto"/>
          <w:color w:val="auto"/>
        </w:rPr>
        <w:t>www.capitalpplp.com</w:t>
      </w:r>
      <w:r>
        <w:rPr>
          <w:rFonts w:ascii="Arial" w:cs="Arial" w:eastAsia="Arial" w:hAnsi="Arial"/>
          <w:sz w:val="18"/>
          <w:szCs w:val="18"/>
          <w:color w:val="auto"/>
        </w:rPr>
        <w:t>. You may also request a copy of our annual report or of the materials free of charge by writing or calling us at the following address:</w:t>
      </w:r>
    </w:p>
    <w:p>
      <w:pPr>
        <w:spacing w:after="0"/>
        <w:rPr>
          <w:sz w:val="20"/>
          <w:szCs w:val="20"/>
          <w:color w:val="auto"/>
        </w:rPr>
      </w:pPr>
      <w:r>
        <w:rPr>
          <w:rFonts w:ascii="Arial" w:cs="Arial" w:eastAsia="Arial" w:hAnsi="Arial"/>
          <w:sz w:val="18"/>
          <w:szCs w:val="18"/>
          <w:color w:val="auto"/>
        </w:rPr>
        <w:t>Capital Product Partners L.P., 3 Iassonos Str., Piraeus 18537,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 210 458 4950 or +1 (203) 539-6273.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info@capitalpplp.com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m.serckhanssen@capitalpplp.com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981075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71"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CLASS I DIRECTOR</w:t>
      </w:r>
    </w:p>
    <w:p>
      <w:pPr>
        <w:spacing w:after="0" w:line="28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board of directors consists of three persons who are designated by the Company’s general partner in its sole discretion and four who are elected by the holders of Common Units. As provided in the Company’s First Amended and Restated Agreement of Limited Partnership, directors appointed by our general partner serve as directors for terms determined by our general partner and directors elected by holders of our Common Units are divided into three classes serving staggered three-year terms. Accordingly, the Board of Directors has nominated Robert P. Curt, a Class I Director, for re-election as a director whose term would expire at the 2011 Annual Meeting.</w:t>
      </w:r>
    </w:p>
    <w:p>
      <w:pPr>
        <w:spacing w:after="0" w:line="200" w:lineRule="exact"/>
        <w:rPr>
          <w:sz w:val="20"/>
          <w:szCs w:val="20"/>
          <w:color w:val="auto"/>
        </w:rPr>
      </w:pPr>
    </w:p>
    <w:p>
      <w:pPr>
        <w:spacing w:after="0" w:line="3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Unless the proxy is marked to indicate that such authorization is expressly withheld, the persons named in the enclosed proxy intend to vote the common units authorized thereby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election of the following nominee. It is expected that such nominee will be able to serve, but if before the election it develops that such nominee is unavailable, the persons named in the accompanying proxy will vote for the election of such substitute nominee as the current Board of Directors may recommend.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for Election to the Company’s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the nominee for director of the Company is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42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w w:val="82"/>
              </w:rPr>
              <w:t>Age</w:t>
            </w:r>
          </w:p>
        </w:tc>
        <w:tc>
          <w:tcPr>
            <w:tcW w:w="8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2880" w:type="dxa"/>
            <w:vAlign w:val="bottom"/>
            <w:gridSpan w:val="2"/>
          </w:tcPr>
          <w:p>
            <w:pPr>
              <w:spacing w:after="0"/>
              <w:rPr>
                <w:sz w:val="20"/>
                <w:szCs w:val="20"/>
                <w:color w:val="auto"/>
              </w:rPr>
            </w:pPr>
            <w:r>
              <w:rPr>
                <w:rFonts w:ascii="Arial" w:cs="Arial" w:eastAsia="Arial" w:hAnsi="Arial"/>
                <w:sz w:val="18"/>
                <w:szCs w:val="18"/>
                <w:color w:val="auto"/>
              </w:rPr>
              <w:t>Robert P. Curt</w:t>
            </w:r>
          </w:p>
        </w:tc>
        <w:tc>
          <w:tcPr>
            <w:tcW w:w="300" w:type="dxa"/>
            <w:vAlign w:val="bottom"/>
          </w:tcPr>
          <w:p>
            <w:pPr>
              <w:spacing w:after="0"/>
              <w:rPr>
                <w:sz w:val="20"/>
                <w:szCs w:val="20"/>
                <w:color w:val="auto"/>
              </w:rPr>
            </w:pPr>
            <w:r>
              <w:rPr>
                <w:rFonts w:ascii="Arial" w:cs="Arial" w:eastAsia="Arial" w:hAnsi="Arial"/>
                <w:sz w:val="18"/>
                <w:szCs w:val="18"/>
                <w:color w:val="auto"/>
              </w:rPr>
              <w:t>57</w:t>
            </w:r>
          </w:p>
        </w:tc>
        <w:tc>
          <w:tcPr>
            <w:tcW w:w="8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1"/>
              </w:rPr>
              <w:t>Class I Director</w:t>
            </w:r>
          </w:p>
        </w:tc>
      </w:tr>
    </w:tbl>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Robert P. Curt </w:t>
      </w:r>
      <w:r>
        <w:rPr>
          <w:rFonts w:ascii="Arial" w:cs="Arial" w:eastAsia="Arial" w:hAnsi="Arial"/>
          <w:sz w:val="18"/>
          <w:szCs w:val="18"/>
          <w:color w:val="auto"/>
        </w:rPr>
        <w:t>joined our board of directors on July 24, 2007 and serves on our conflicts committee and our audit committee. He had been a career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than 30 years with ExxonMobil, and was named General Manager of ExxonMobil's Marine Transportation department following the merger of Exxon and Mobil in 1999. In 2003, he was seconded to Qatargas to lead its LNG vessel acquisition program and subsequently was appointed Managing Director of Qatar Gas Transport Company, the world's largest owner of LNG vessels. In 2006, he returned to the U.S., where he served as Vice President in ExxonMobil's SeaRiver subsidiary. Mr. Curt received his B.S. degree in Marine Engineering from the U.S. Merchant Marine Academy, Kings Point, and holds an MBA in Finance from Iona College.</w:t>
      </w:r>
    </w:p>
    <w:p>
      <w:pPr>
        <w:spacing w:after="0" w:line="2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of our board of directors is composed of three or more independent directors, each of whom must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independence standards of the Nasdaq Global Market, the SEC and any other applicable laws and regulations governing independence from time to time. The audit committee is currently comprised of directors Abel Rasterhoff (chair), Robert P. Curt and Keith Forman. All members of the committee are financially literate and our board of directors has determined that Mr. Rasterhoff qualifies as an "audit committee financial expert" for purposes of the U.S. Sarbanes-Oxley Act. The audit committee, among other things, reviews our external financial reporting, engages our external auditors and oversees our internal audit activities and procedures and the adequacy of our internal accounting controls.</w:t>
      </w:r>
    </w:p>
    <w:p>
      <w:pPr>
        <w:spacing w:after="0" w:line="23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The conflicts committee of our board of directors is composed of the same directors constituting the audit committee, being Keith</w:t>
      </w:r>
      <w:r>
        <w:rPr>
          <w:rFonts w:ascii="Arial" w:cs="Arial" w:eastAsia="Arial" w:hAnsi="Arial"/>
          <w:sz w:val="17"/>
          <w:szCs w:val="17"/>
          <w:i w:val="1"/>
          <w:iCs w:val="1"/>
          <w:color w:val="auto"/>
        </w:rPr>
        <w:t xml:space="preserve"> </w:t>
      </w:r>
      <w:r>
        <w:rPr>
          <w:rFonts w:ascii="Arial" w:cs="Arial" w:eastAsia="Arial" w:hAnsi="Arial"/>
          <w:sz w:val="17"/>
          <w:szCs w:val="17"/>
          <w:color w:val="auto"/>
        </w:rPr>
        <w:t>Forman (chair), Abel Rasterhoff and Robert P. Curt. The members of our conflicts committee may not be officers or employees of our general partner or directors, officers or employees of its affiliates, and must meet the independence standards established by The Nasdaq Global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limited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617220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8" w:name="page9"/>
    <w:bookmarkEnd w:id="8"/>
    <w:p>
      <w:pPr>
        <w:spacing w:after="0" w:line="347" w:lineRule="auto"/>
        <w:rPr>
          <w:sz w:val="20"/>
          <w:szCs w:val="20"/>
          <w:color w:val="auto"/>
        </w:rPr>
      </w:pPr>
      <w:r>
        <w:rPr>
          <w:rFonts w:ascii="Arial" w:cs="Arial" w:eastAsia="Arial" w:hAnsi="Arial"/>
          <w:sz w:val="16"/>
          <w:szCs w:val="16"/>
          <w:b w:val="1"/>
          <w:bCs w:val="1"/>
          <w:i w:val="1"/>
          <w:iCs w:val="1"/>
          <w:color w:val="auto"/>
        </w:rPr>
        <w:t>Required Vote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of Proposal One will require the affirmative vote of the plurality of the votes cast by holders of the Common Units (excluding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units owned by Capital Maritime &amp; Partners Corp. or its affiliates) present either in person or represented by proxy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abstentions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Abstentions will not affect the vote on Proposal One.</w:t>
      </w:r>
    </w:p>
    <w:p>
      <w:pPr>
        <w:spacing w:after="0" w:line="27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THE BOARD OF DIRECTORS UNANIMOUSLY RECOMMENDS A VOTE IN FAVOR OF THE PROPOSED DIRECTOR. UNLESS REVOKED AS PROVIDED ABOVE, PROXIES RECEIVED BY MANAGEMENT WILL BE VOTED IN FAVOR OF THE PROPOSED DIRECTOR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619125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567" w:right="6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PROPOSAL TWO</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AMENDMENT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COMPANY’S FIRST AMENDED AND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 OF LIMITED PARTNERSHIP</w:t>
      </w:r>
    </w:p>
    <w:p>
      <w:pPr>
        <w:spacing w:after="0" w:line="26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Board of Directors is submitting for approval at the Meeting a proposed amendment to the Company’s First Amended and Restated Agreement of Limited Partnership that would establish that, in the case of any meeting of Limited Partners held after the effective date of the amendment and which has been adjourned for a second time due to absence of a quorum during the first two meetings, the holders of any Outstanding Units of the class or classes for which such meeting has been called, represented either in person or by proxy shall constitute a quorum for the purposes of such meeting.</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quorum currently required at all meetings of Limited Partners is a majority of all units of the class or classes for which such meeting has been called, represented either in person or by proxy.</w:t>
      </w:r>
    </w:p>
    <w:p>
      <w:pPr>
        <w:spacing w:after="0" w:line="22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Board of Directors believes that a change in the quorum required for meetings of the Limited Partners which have been adjourned for a second time due to absence of a quorum during the first two meetings is in the best interests of the Company because it will allow the Company to conduct its business more efficiently by reducing the possibility of having to further adjourn future meetings of the Limited Partners due to absence of a quorum.</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approved, Clause 13.9 of the Company’s First Amended and Restated Agreement of Limited Partnership will be amended to read (amendments underlined in text):</w:t>
      </w:r>
    </w:p>
    <w:p>
      <w:pPr>
        <w:spacing w:after="0" w:line="224"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Section 13.9</w:t>
      </w:r>
      <w:r>
        <w:rPr>
          <w:rFonts w:ascii="Arial" w:cs="Arial" w:eastAsia="Arial" w:hAnsi="Arial"/>
          <w:sz w:val="17"/>
          <w:szCs w:val="17"/>
          <w:color w:val="auto"/>
        </w:rPr>
        <w:t xml:space="preserve">. </w:t>
      </w:r>
      <w:r>
        <w:rPr>
          <w:rFonts w:ascii="Arial" w:cs="Arial" w:eastAsia="Arial" w:hAnsi="Arial"/>
          <w:sz w:val="17"/>
          <w:szCs w:val="17"/>
          <w:u w:val="single" w:color="auto"/>
          <w:color w:val="auto"/>
        </w:rPr>
        <w:t>Quorum and Voting</w:t>
      </w:r>
      <w:r>
        <w:rPr>
          <w:rFonts w:ascii="Arial" w:cs="Arial" w:eastAsia="Arial" w:hAnsi="Arial"/>
          <w:sz w:val="17"/>
          <w:szCs w:val="17"/>
          <w:color w:val="auto"/>
        </w:rPr>
        <w:t xml:space="preserve">. The holders of a majority of the Outstanding Units of the class or classes for which a meeting has been called (including Outstanding Units deemed owned by the General Partner) represented in person or by proxy shall constitute a quorum at a meeting of Limited Partners of such class or classes unless any such action by the Limited Partners requires approval by holders of a greater percentage of such Units, in which case the quorum shall be such greater percentage, </w:t>
      </w:r>
      <w:r>
        <w:rPr>
          <w:rFonts w:ascii="Arial" w:cs="Arial" w:eastAsia="Arial" w:hAnsi="Arial"/>
          <w:sz w:val="17"/>
          <w:szCs w:val="17"/>
          <w:u w:val="single" w:color="auto"/>
          <w:color w:val="auto"/>
        </w:rPr>
        <w:t>provided, however, that if any meeting has been adjourned for a second time due to absence of a quorum,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holders of any Outstanding Units of the class or classes for which such meeting has been called represented in person or by proxy shall constitute a quorum for the purposes of such meeting</w:t>
      </w:r>
      <w:r>
        <w:rPr>
          <w:rFonts w:ascii="Arial" w:cs="Arial" w:eastAsia="Arial" w:hAnsi="Arial"/>
          <w:sz w:val="17"/>
          <w:szCs w:val="17"/>
          <w:color w:val="auto"/>
        </w:rPr>
        <w:t xml:space="preserv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w:t>
      </w:r>
      <w:r>
        <w:rPr>
          <w:rFonts w:ascii="Arial" w:cs="Arial" w:eastAsia="Arial" w:hAnsi="Arial"/>
          <w:sz w:val="17"/>
          <w:szCs w:val="17"/>
          <w:u w:val="single" w:color="auto"/>
          <w:color w:val="auto"/>
        </w:rPr>
        <w:t>provided, however, that if any meeting has been</w:t>
      </w:r>
      <w:r>
        <w:rPr>
          <w:rFonts w:ascii="Arial" w:cs="Arial" w:eastAsia="Arial" w:hAnsi="Arial"/>
          <w:sz w:val="17"/>
          <w:szCs w:val="17"/>
          <w:color w:val="auto"/>
        </w:rPr>
        <w:t xml:space="preserve"> </w:t>
      </w:r>
      <w:r>
        <w:rPr>
          <w:rFonts w:ascii="Arial" w:cs="Arial" w:eastAsia="Arial" w:hAnsi="Arial"/>
          <w:sz w:val="17"/>
          <w:szCs w:val="17"/>
          <w:u w:val="single" w:color="auto"/>
          <w:color w:val="auto"/>
        </w:rPr>
        <w:t>adjourned for a second time due to absence of a quorum, the act of the Limited Partners holding Outstanding Units of the class or classes for which the meeting has been called which are represented in person or by proxy at such meeting shall be deemed to constitute the act of all Limited Partners,</w:t>
      </w:r>
      <w:r>
        <w:rPr>
          <w:rFonts w:ascii="Arial" w:cs="Arial" w:eastAsia="Arial" w:hAnsi="Arial"/>
          <w:sz w:val="17"/>
          <w:szCs w:val="17"/>
          <w:color w:val="auto"/>
        </w:rPr>
        <w:t xml:space="preserve">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(including Outstanding Units deemed owned by the General Partner). In the absence of a quorum, any meeting of Limited Partners may be adjourned from time to time by the affirmative vote of holders of at least a majority of the Outstanding Units entitled to vote at such meeting (including Outstanding Units deemed owned by the General Partner) represented either in person or by proxy, but no other business may be transacted, except as provided in Section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37" w:right="279" w:bottom="1440" w:gutter="0" w:footer="0" w:header="0"/>
        </w:sectPr>
      </w:pPr>
    </w:p>
    <w:bookmarkStart w:id="10" w:name="page11"/>
    <w:bookmarkEnd w:id="10"/>
    <w:p>
      <w:pPr>
        <w:ind w:right="280"/>
        <w:spacing w:after="0" w:line="347" w:lineRule="auto"/>
        <w:rPr>
          <w:sz w:val="20"/>
          <w:szCs w:val="20"/>
          <w:color w:val="auto"/>
        </w:rPr>
      </w:pPr>
      <w:r>
        <w:rPr>
          <w:rFonts w:ascii="Arial" w:cs="Arial" w:eastAsia="Arial" w:hAnsi="Arial"/>
          <w:sz w:val="16"/>
          <w:szCs w:val="16"/>
          <w:b w:val="1"/>
          <w:bCs w:val="1"/>
          <w:i w:val="1"/>
          <w:iCs w:val="1"/>
          <w:color w:val="auto"/>
        </w:rPr>
        <w:t>Required Vote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Proposal Two requires the affirmative vote of a majority of the outstanding Common Units entitled to vote at the Meeting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(excluding common units owned by the general partner of the Company or its affiliates) and the affirmative vote of a majority of the Subordinated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abstentions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abstention will count as an effective vote for Proposal Two.</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UNANIMOUSLY RECOMMENDS A VOTE FOR APPROVAL OF THE AMENDMENT TO THE COMPANY’S FIRST AMENDED AND RESTATED AGREEMENT OF LIMITED PARTNERSHIP. UNLESS REVOKED AS PROVIDED ABOVE, PROXIES RECEIVED BY MANAGEMENT WILL BE VOTED IN FAVOR OF SUCH AMENDMENT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619125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6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SOLICITATION</w:t>
      </w:r>
    </w:p>
    <w:p>
      <w:pPr>
        <w:spacing w:after="0" w:line="279" w:lineRule="exact"/>
        <w:rPr>
          <w:sz w:val="20"/>
          <w:szCs w:val="20"/>
          <w:color w:val="auto"/>
        </w:rPr>
      </w:pPr>
    </w:p>
    <w:p>
      <w:pPr>
        <w:ind w:firstLine="537"/>
        <w:spacing w:after="0" w:line="259" w:lineRule="auto"/>
        <w:rPr>
          <w:sz w:val="20"/>
          <w:szCs w:val="20"/>
          <w:color w:val="auto"/>
        </w:rPr>
      </w:pPr>
      <w:r>
        <w:rPr>
          <w:rFonts w:ascii="Arial" w:cs="Arial" w:eastAsia="Arial" w:hAnsi="Arial"/>
          <w:sz w:val="18"/>
          <w:szCs w:val="18"/>
          <w:color w:val="auto"/>
        </w:rPr>
        <w:t>The cost of preparing and soliciting proxies will be borne by the Company. Solicitation on behalf of the Board of Directors will be made primarily by mail, but Limited Partners may be solicited by telephone, e-mail, other electronic means, or personal contact. Copies of materials for the Annual General Meeting of Limited Partners will be supplied to brokers, dealers, banks and voting trustees, or their nominees, for the purpose of soliciting proxies from beneficial owners. Morrow &amp; Co. LLC has been retained to assist in soliciting proxies.</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224" w:lineRule="exact"/>
        <w:rPr>
          <w:sz w:val="20"/>
          <w:szCs w:val="20"/>
          <w:color w:val="auto"/>
        </w:rPr>
      </w:pPr>
    </w:p>
    <w:p>
      <w:pPr>
        <w:jc w:val="center"/>
        <w:ind w:left="7700"/>
        <w:spacing w:after="0"/>
        <w:rPr>
          <w:sz w:val="20"/>
          <w:szCs w:val="20"/>
          <w:color w:val="auto"/>
        </w:rPr>
      </w:pPr>
      <w:r>
        <w:rPr>
          <w:rFonts w:ascii="Arial" w:cs="Arial" w:eastAsia="Arial" w:hAnsi="Arial"/>
          <w:sz w:val="17"/>
          <w:szCs w:val="17"/>
          <w:color w:val="auto"/>
        </w:rPr>
        <w:t>BY ORDER OF THE BOARD OF DIRECTORS</w:t>
      </w:r>
    </w:p>
    <w:p>
      <w:pPr>
        <w:spacing w:after="0" w:line="237"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Ioannis E. Lazaridis</w:t>
      </w:r>
    </w:p>
    <w:p>
      <w:pPr>
        <w:spacing w:after="0" w:line="23" w:lineRule="exact"/>
        <w:rPr>
          <w:sz w:val="20"/>
          <w:szCs w:val="20"/>
          <w:color w:val="auto"/>
        </w:rPr>
      </w:pPr>
    </w:p>
    <w:p>
      <w:pPr>
        <w:jc w:val="center"/>
        <w:ind w:left="7780"/>
        <w:spacing w:after="0"/>
        <w:rPr>
          <w:sz w:val="20"/>
          <w:szCs w:val="20"/>
          <w:color w:val="auto"/>
        </w:rPr>
      </w:pPr>
      <w:r>
        <w:rPr>
          <w:rFonts w:ascii="Arial" w:cs="Arial" w:eastAsia="Arial" w:hAnsi="Arial"/>
          <w:sz w:val="18"/>
          <w:szCs w:val="18"/>
          <w:i w:val="1"/>
          <w:iCs w:val="1"/>
          <w:color w:val="auto"/>
        </w:rPr>
        <w:t>Chief Executive Officer and Chief Financial</w:t>
      </w:r>
    </w:p>
    <w:p>
      <w:pPr>
        <w:spacing w:after="0" w:line="9" w:lineRule="exact"/>
        <w:rPr>
          <w:sz w:val="20"/>
          <w:szCs w:val="20"/>
          <w:color w:val="auto"/>
        </w:rPr>
      </w:pPr>
    </w:p>
    <w:p>
      <w:pPr>
        <w:jc w:val="center"/>
        <w:ind w:left="7780"/>
        <w:spacing w:after="0"/>
        <w:rPr>
          <w:sz w:val="20"/>
          <w:szCs w:val="20"/>
          <w:color w:val="auto"/>
        </w:rPr>
      </w:pPr>
      <w:r>
        <w:rPr>
          <w:rFonts w:ascii="Arial" w:cs="Arial" w:eastAsia="Arial" w:hAnsi="Arial"/>
          <w:sz w:val="18"/>
          <w:szCs w:val="18"/>
          <w:i w:val="1"/>
          <w:iCs w:val="1"/>
          <w:color w:val="auto"/>
        </w:rPr>
        <w:t>Officer of Capital GP L.L.C.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July 1,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Piraeus, Greece</w:t>
      </w:r>
    </w:p>
    <w:sectPr>
      <w:pgSz w:w="11900" w:h="16838" w:orient="portrait"/>
      <w:cols w:equalWidth="0" w:num="1">
        <w:col w:w="11360"/>
      </w:cols>
      <w:pgMar w:left="240" w:top="8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2019-12-15T16:18:52Z</dcterms:created>
  <dcterms:modified xsi:type="dcterms:W3CDTF">2019-12-15T16:18:52Z</dcterms:modified>
</cp:coreProperties>
</file>