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42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237490</wp:posOffset>
            </wp:positionV>
            <wp:extent cx="1781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151130</wp:posOffset>
            </wp:positionV>
            <wp:extent cx="1781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5" w:lineRule="exact"/>
        <w:rPr>
          <w:sz w:val="24"/>
          <w:szCs w:val="24"/>
          <w:color w:val="auto"/>
        </w:rPr>
      </w:pPr>
    </w:p>
    <w:p>
      <w:pPr>
        <w:ind w:left="720" w:hanging="219"/>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REGISTRATION STATEMENT PURSUANT TO SECTION 12(b) OR (g) OF THE SECURITIES EXCHANGE ACT OF</w:t>
      </w:r>
    </w:p>
    <w:p>
      <w:pPr>
        <w:spacing w:after="0" w:line="4" w:lineRule="exact"/>
        <w:rPr>
          <w:rFonts w:ascii="MS PGothic" w:cs="MS PGothic" w:eastAsia="MS PGothic" w:hAnsi="MS PGothic"/>
          <w:sz w:val="20"/>
          <w:szCs w:val="20"/>
          <w:color w:val="auto"/>
        </w:rPr>
      </w:pPr>
    </w:p>
    <w:p>
      <w:pPr>
        <w:ind w:left="564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1934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4" w:lineRule="exact"/>
        <w:rPr>
          <w:sz w:val="24"/>
          <w:szCs w:val="24"/>
          <w:color w:val="auto"/>
        </w:rPr>
      </w:pPr>
    </w:p>
    <w:p>
      <w:pPr>
        <w:ind w:left="1060" w:hanging="222"/>
        <w:spacing w:after="0"/>
        <w:tabs>
          <w:tab w:leader="none" w:pos="10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1" w:lineRule="exact"/>
        <w:rPr>
          <w:sz w:val="24"/>
          <w:szCs w:val="24"/>
          <w:color w:val="auto"/>
        </w:rPr>
      </w:pPr>
    </w:p>
    <w:p>
      <w:pPr>
        <w:ind w:left="1020" w:hanging="223"/>
        <w:spacing w:after="0"/>
        <w:tabs>
          <w:tab w:leader="none" w:pos="102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4" w:lineRule="exact"/>
        <w:rPr>
          <w:sz w:val="24"/>
          <w:szCs w:val="24"/>
          <w:color w:val="auto"/>
        </w:rPr>
      </w:pPr>
    </w:p>
    <w:p>
      <w:pPr>
        <w:ind w:left="920" w:hanging="221"/>
        <w:spacing w:after="0"/>
        <w:tabs>
          <w:tab w:leader="none" w:pos="92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SHELL COMPANY REPORT PURSUANT TO SECTION 13 OR 15(d) OF THE SECURITIES EXCHANGE ACT OF</w:t>
      </w:r>
    </w:p>
    <w:p>
      <w:pPr>
        <w:spacing w:after="0" w:line="21" w:lineRule="exact"/>
        <w:rPr>
          <w:rFonts w:ascii="MS PGothic" w:cs="MS PGothic" w:eastAsia="MS PGothic" w:hAnsi="MS PGothic"/>
          <w:sz w:val="20"/>
          <w:szCs w:val="20"/>
          <w:color w:val="auto"/>
        </w:rPr>
      </w:pPr>
    </w:p>
    <w:p>
      <w:pPr>
        <w:ind w:left="572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1934</w:t>
      </w:r>
    </w:p>
    <w:p>
      <w:pPr>
        <w:spacing w:after="0" w:line="17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4449445</wp:posOffset>
            </wp:positionH>
            <wp:positionV relativeFrom="paragraph">
              <wp:posOffset>-6985</wp:posOffset>
            </wp:positionV>
            <wp:extent cx="53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85" w:lineRule="exact"/>
        <w:rPr>
          <w:sz w:val="24"/>
          <w:szCs w:val="24"/>
          <w:color w:val="auto"/>
        </w:rPr>
      </w:pPr>
    </w:p>
    <w:p>
      <w:pPr>
        <w:ind w:left="358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3669030</wp:posOffset>
            </wp:positionH>
            <wp:positionV relativeFrom="paragraph">
              <wp:posOffset>-6985</wp:posOffset>
            </wp:positionV>
            <wp:extent cx="1201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47625</wp:posOffset>
            </wp:positionV>
            <wp:extent cx="1781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CAPITAL PRODUCT PARTNERS L.P.</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177165</wp:posOffset>
            </wp:positionV>
            <wp:extent cx="178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Republic of the Marshall Islands</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 Iassonos Street, Piraeus, 18537 Greece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+30 210 458 4950</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234950</wp:posOffset>
            </wp:positionV>
            <wp:extent cx="1781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Gerasimos (Jerry) Kalogiratos, j.kalogiratos@capitalmaritime.com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and email of company contact person)</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Act:</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72"/>
        </w:trPr>
        <w:tc>
          <w:tcPr>
            <w:tcW w:w="38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Common units representing limited partnership</w:t>
            </w:r>
          </w:p>
        </w:tc>
        <w:tc>
          <w:tcPr>
            <w:tcW w:w="140" w:type="dxa"/>
            <w:vAlign w:val="bottom"/>
          </w:tcPr>
          <w:p>
            <w:pPr>
              <w:spacing w:after="0"/>
              <w:rPr>
                <w:sz w:val="14"/>
                <w:szCs w:val="14"/>
                <w:color w:val="auto"/>
              </w:rPr>
            </w:pPr>
          </w:p>
        </w:tc>
        <w:tc>
          <w:tcPr>
            <w:tcW w:w="3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9"/>
              </w:rPr>
              <w:t>CPLP</w:t>
            </w:r>
          </w:p>
        </w:tc>
        <w:tc>
          <w:tcPr>
            <w:tcW w:w="100" w:type="dxa"/>
            <w:vAlign w:val="bottom"/>
          </w:tcPr>
          <w:p>
            <w:pPr>
              <w:spacing w:after="0"/>
              <w:rPr>
                <w:sz w:val="14"/>
                <w:szCs w:val="14"/>
                <w:color w:val="auto"/>
              </w:rPr>
            </w:pPr>
          </w:p>
        </w:tc>
        <w:tc>
          <w:tcPr>
            <w:tcW w:w="35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Nasdaq Global Select Market</w:t>
            </w:r>
          </w:p>
        </w:tc>
      </w:tr>
      <w:tr>
        <w:trPr>
          <w:trHeight w:val="221"/>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interests</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12(g) of the Act: None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143510</wp:posOffset>
            </wp:positionV>
            <wp:extent cx="1781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0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20,255,707 Common Units</w:t>
      </w:r>
    </w:p>
    <w:p>
      <w:pPr>
        <w:spacing w:after="0" w:line="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566,239 Treasury Common Units</w:t>
      </w:r>
    </w:p>
    <w:p>
      <w:pPr>
        <w:spacing w:after="0" w:line="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348,570 General Partner Units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179" w:lineRule="exact"/>
        <w:rPr>
          <w:sz w:val="24"/>
          <w:szCs w:val="24"/>
          <w:color w:val="auto"/>
        </w:rPr>
      </w:pPr>
    </w:p>
    <w:p>
      <w:pPr>
        <w:ind w:left="4700"/>
        <w:spacing w:after="0" w:line="196" w:lineRule="exact"/>
        <w:tabs>
          <w:tab w:leader="none" w:pos="600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424" w:right="339" w:bottom="0" w:gutter="0" w:footer="0" w:header="0"/>
        </w:sectPr>
      </w:pPr>
    </w:p>
    <w:bookmarkStart w:id="1" w:name="page2"/>
    <w:bookmarkEnd w:id="1"/>
    <w:p>
      <w:pPr>
        <w:spacing w:after="0" w:line="10" w:lineRule="exact"/>
        <w:rPr>
          <w:sz w:val="20"/>
          <w:szCs w:val="20"/>
          <w:color w:val="auto"/>
        </w:rPr>
      </w:pPr>
    </w:p>
    <w:p>
      <w:pPr>
        <w:jc w:val="center"/>
        <w:ind w:left="340" w:right="180"/>
        <w:spacing w:after="0" w:line="272" w:lineRule="auto"/>
        <w:rPr>
          <w:sz w:val="20"/>
          <w:szCs w:val="20"/>
          <w:color w:val="auto"/>
        </w:rPr>
      </w:pPr>
      <w:r>
        <w:rPr>
          <w:rFonts w:ascii="Times New Roman" w:cs="Times New Roman" w:eastAsia="Times New Roman" w:hAnsi="Times New Roman"/>
          <w:sz w:val="17"/>
          <w:szCs w:val="17"/>
          <w:color w:val="auto"/>
        </w:rPr>
        <w:t>If this report is an annual or transition report, indicate by check mark if the registrant is not required to file reports pursuant to Section 13 or 15(d) of the Securities Exchange Act of 1934.</w:t>
      </w:r>
    </w:p>
    <w:p>
      <w:pPr>
        <w:spacing w:after="0" w:line="132" w:lineRule="exact"/>
        <w:rPr>
          <w:sz w:val="20"/>
          <w:szCs w:val="20"/>
          <w:color w:val="auto"/>
        </w:rPr>
      </w:pPr>
    </w:p>
    <w:p>
      <w:pPr>
        <w:ind w:left="4700"/>
        <w:spacing w:after="0" w:line="228" w:lineRule="exact"/>
        <w:tabs>
          <w:tab w:leader="none" w:pos="600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Arial Unicode MS" w:cs="Arial Unicode MS" w:eastAsia="Arial Unicode MS" w:hAnsi="Arial Unicode MS"/>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Arial Unicode MS" w:cs="Arial Unicode MS" w:eastAsia="Arial Unicode MS" w:hAnsi="Arial Unicode MS"/>
          <w:sz w:val="17"/>
          <w:szCs w:val="17"/>
          <w:color w:val="auto"/>
        </w:rPr>
        <w:t>☒</w:t>
      </w:r>
    </w:p>
    <w:p>
      <w:pPr>
        <w:spacing w:after="0" w:line="199" w:lineRule="exact"/>
        <w:rPr>
          <w:sz w:val="20"/>
          <w:szCs w:val="20"/>
          <w:color w:val="auto"/>
        </w:rPr>
      </w:pPr>
    </w:p>
    <w:p>
      <w:pPr>
        <w:jc w:val="center"/>
        <w:ind w:left="340" w:right="20"/>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8" w:lineRule="exact"/>
        <w:rPr>
          <w:sz w:val="20"/>
          <w:szCs w:val="20"/>
          <w:color w:val="auto"/>
        </w:rPr>
      </w:pPr>
    </w:p>
    <w:p>
      <w:pPr>
        <w:ind w:left="4700"/>
        <w:spacing w:after="0" w:line="228" w:lineRule="exact"/>
        <w:tabs>
          <w:tab w:leader="none" w:pos="600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Arial Unicode MS" w:cs="Arial Unicode MS" w:eastAsia="Arial Unicode MS" w:hAnsi="Arial Unicode MS"/>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Arial Unicode MS" w:cs="Arial Unicode MS" w:eastAsia="Arial Unicode MS" w:hAnsi="Arial Unicode MS"/>
          <w:sz w:val="17"/>
          <w:szCs w:val="17"/>
          <w:color w:val="auto"/>
        </w:rPr>
        <w:t>☐</w:t>
      </w:r>
    </w:p>
    <w:p>
      <w:pPr>
        <w:spacing w:after="0" w:line="199"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2" w:lineRule="exact"/>
        <w:rPr>
          <w:sz w:val="20"/>
          <w:szCs w:val="20"/>
          <w:color w:val="auto"/>
        </w:rPr>
      </w:pPr>
    </w:p>
    <w:p>
      <w:pPr>
        <w:ind w:left="4720"/>
        <w:spacing w:after="0" w:line="228" w:lineRule="exact"/>
        <w:tabs>
          <w:tab w:leader="none" w:pos="598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Arial Unicode MS" w:cs="Arial Unicode MS" w:eastAsia="Arial Unicode MS" w:hAnsi="Arial Unicode MS"/>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Arial Unicode MS" w:cs="Arial Unicode MS" w:eastAsia="Arial Unicode MS" w:hAnsi="Arial Unicode MS"/>
          <w:sz w:val="17"/>
          <w:szCs w:val="17"/>
          <w:color w:val="auto"/>
        </w:rPr>
        <w:t>☐</w:t>
      </w:r>
    </w:p>
    <w:p>
      <w:pPr>
        <w:spacing w:after="0" w:line="199"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pacing w:after="0" w:line="132" w:lineRule="exact"/>
        <w:rPr>
          <w:sz w:val="20"/>
          <w:szCs w:val="20"/>
          <w:color w:val="auto"/>
        </w:rPr>
      </w:pPr>
    </w:p>
    <w:p>
      <w:pPr>
        <w:ind w:left="400"/>
        <w:spacing w:after="0" w:line="228" w:lineRule="exact"/>
        <w:tabs>
          <w:tab w:leader="none" w:pos="2880" w:val="left"/>
          <w:tab w:leader="none" w:pos="5140" w:val="left"/>
          <w:tab w:leader="none" w:pos="7820" w:val="left"/>
        </w:tabs>
        <w:rPr>
          <w:sz w:val="20"/>
          <w:szCs w:val="20"/>
          <w:color w:val="auto"/>
        </w:rPr>
      </w:pPr>
      <w:r>
        <w:rPr>
          <w:rFonts w:ascii="Times New Roman" w:cs="Times New Roman" w:eastAsia="Times New Roman" w:hAnsi="Times New Roman"/>
          <w:sz w:val="17"/>
          <w:szCs w:val="17"/>
          <w:b w:val="1"/>
          <w:bCs w:val="1"/>
          <w:color w:val="auto"/>
        </w:rPr>
        <w:t xml:space="preserve">Large accelerated filer </w:t>
      </w:r>
      <w:r>
        <w:rPr>
          <w:rFonts w:ascii="Arial Unicode MS" w:cs="Arial Unicode MS" w:eastAsia="Arial Unicode MS" w:hAnsi="Arial Unicode MS"/>
          <w:sz w:val="17"/>
          <w:szCs w:val="17"/>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Accelerated Filer </w:t>
      </w:r>
      <w:r>
        <w:rPr>
          <w:rFonts w:ascii="Arial Unicode MS" w:cs="Arial Unicode MS" w:eastAsia="Arial Unicode MS" w:hAnsi="Arial Unicode MS"/>
          <w:sz w:val="17"/>
          <w:szCs w:val="17"/>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Non- accelerated filer </w:t>
      </w:r>
      <w:r>
        <w:rPr>
          <w:rFonts w:ascii="Arial Unicode MS" w:cs="Arial Unicode MS" w:eastAsia="Arial Unicode MS" w:hAnsi="Arial Unicode MS"/>
          <w:sz w:val="17"/>
          <w:szCs w:val="17"/>
          <w:color w:val="auto"/>
          <w:highlight w:val="black"/>
        </w:rPr>
        <w:t>☐</w:t>
      </w:r>
      <w:r>
        <w:rPr>
          <w:sz w:val="20"/>
          <w:szCs w:val="20"/>
          <w:color w:val="auto"/>
        </w:rPr>
        <w:tab/>
      </w:r>
      <w:r>
        <w:rPr>
          <w:rFonts w:ascii="Times New Roman" w:cs="Times New Roman" w:eastAsia="Times New Roman" w:hAnsi="Times New Roman"/>
          <w:sz w:val="16"/>
          <w:szCs w:val="16"/>
          <w:b w:val="1"/>
          <w:bCs w:val="1"/>
          <w:color w:val="auto"/>
        </w:rPr>
        <w:t xml:space="preserve">Emerging growth company </w:t>
      </w:r>
      <w:r>
        <w:rPr>
          <w:rFonts w:ascii="Arial Unicode MS" w:cs="Arial Unicode MS" w:eastAsia="Arial Unicode MS" w:hAnsi="Arial Unicode MS"/>
          <w:sz w:val="16"/>
          <w:szCs w:val="16"/>
          <w:color w:val="auto"/>
          <w:highlight w:val="black"/>
        </w:rPr>
        <w:t>☐</w:t>
      </w:r>
    </w:p>
    <w:p>
      <w:pPr>
        <w:spacing w:after="0" w:line="199" w:lineRule="exact"/>
        <w:rPr>
          <w:sz w:val="20"/>
          <w:szCs w:val="20"/>
          <w:color w:val="auto"/>
        </w:rPr>
      </w:pPr>
    </w:p>
    <w:p>
      <w:pPr>
        <w:jc w:val="center"/>
        <w:spacing w:after="0" w:line="217"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67" w:lineRule="exact"/>
        <w:rPr>
          <w:sz w:val="20"/>
          <w:szCs w:val="20"/>
          <w:color w:val="auto"/>
        </w:rPr>
      </w:pPr>
    </w:p>
    <w:p>
      <w:pPr>
        <w:ind w:left="400" w:hanging="133"/>
        <w:spacing w:after="0"/>
        <w:tabs>
          <w:tab w:leader="none" w:pos="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w:t>
      </w:r>
    </w:p>
    <w:p>
      <w:pPr>
        <w:spacing w:after="0" w:line="21" w:lineRule="exact"/>
        <w:rPr>
          <w:rFonts w:ascii="Times New Roman" w:cs="Times New Roman" w:eastAsia="Times New Roman" w:hAnsi="Times New Roman"/>
          <w:sz w:val="17"/>
          <w:szCs w:val="17"/>
          <w:color w:val="auto"/>
        </w:rPr>
      </w:pPr>
    </w:p>
    <w:p>
      <w:pPr>
        <w:ind w:left="4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Codification after April 5, 2012.</w:t>
      </w:r>
    </w:p>
    <w:p>
      <w:pPr>
        <w:spacing w:after="0" w:line="189" w:lineRule="exact"/>
        <w:rPr>
          <w:sz w:val="20"/>
          <w:szCs w:val="20"/>
          <w:color w:val="auto"/>
        </w:rPr>
      </w:pPr>
    </w:p>
    <w:p>
      <w:pPr>
        <w:jc w:val="center"/>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 attestation to it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66" w:lineRule="exact"/>
        <w:rPr>
          <w:sz w:val="20"/>
          <w:szCs w:val="20"/>
          <w:color w:val="auto"/>
        </w:rPr>
      </w:pPr>
    </w:p>
    <w:p>
      <w:pPr>
        <w:jc w:val="center"/>
        <w:spacing w:after="0" w:line="21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330" w:lineRule="exact"/>
        <w:rPr>
          <w:sz w:val="20"/>
          <w:szCs w:val="20"/>
          <w:color w:val="auto"/>
        </w:rPr>
      </w:pPr>
    </w:p>
    <w:p>
      <w:pPr>
        <w:jc w:val="center"/>
        <w:spacing w:after="0" w:line="217" w:lineRule="exact"/>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7"/>
          <w:szCs w:val="17"/>
          <w:color w:val="auto"/>
        </w:rPr>
        <w:t>ﬃ</w:t>
      </w:r>
      <w:r>
        <w:rPr>
          <w:rFonts w:ascii="Times New Roman" w:cs="Times New Roman" w:eastAsia="Times New Roman" w:hAnsi="Times New Roman"/>
          <w:sz w:val="17"/>
          <w:szCs w:val="17"/>
          <w:color w:val="auto"/>
        </w:rPr>
        <w:t xml:space="preserve">cers during the relevant recovery period pursuant to §240.10D-1(b). </w:t>
      </w:r>
      <w:r>
        <w:rPr>
          <w:rFonts w:ascii="Arial Unicode MS" w:cs="Arial Unicode MS" w:eastAsia="Arial Unicode MS" w:hAnsi="Arial Unicode MS"/>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48" w:orient="portrait"/>
          <w:cols w:equalWidth="0" w:num="1">
            <w:col w:w="11240"/>
          </w:cols>
          <w:pgMar w:left="320" w:top="123" w:right="339" w:bottom="0" w:gutter="0" w:footer="0" w:header="0"/>
        </w:sectPr>
      </w:pPr>
    </w:p>
    <w:p>
      <w:pPr>
        <w:spacing w:after="0" w:line="179" w:lineRule="exact"/>
        <w:rPr>
          <w:sz w:val="20"/>
          <w:szCs w:val="20"/>
          <w:color w:val="auto"/>
        </w:rPr>
      </w:pPr>
    </w:p>
    <w:p>
      <w:pPr>
        <w:ind w:left="620"/>
        <w:spacing w:after="0" w:line="228" w:lineRule="exact"/>
        <w:rPr>
          <w:sz w:val="20"/>
          <w:szCs w:val="20"/>
          <w:color w:val="auto"/>
        </w:rPr>
      </w:pPr>
      <w:r>
        <w:rPr>
          <w:rFonts w:ascii="Times New Roman" w:cs="Times New Roman" w:eastAsia="Times New Roman" w:hAnsi="Times New Roman"/>
          <w:sz w:val="17"/>
          <w:szCs w:val="17"/>
          <w:b w:val="1"/>
          <w:bCs w:val="1"/>
          <w:color w:val="auto"/>
        </w:rPr>
        <w:t xml:space="preserve">U.S. GAAP </w:t>
      </w:r>
      <w:r>
        <w:rPr>
          <w:rFonts w:ascii="Arial Unicode MS" w:cs="Arial Unicode MS" w:eastAsia="Arial Unicode MS" w:hAnsi="Arial Unicode MS"/>
          <w:sz w:val="17"/>
          <w:szCs w:val="17"/>
          <w:color w:val="auto"/>
          <w:highlight w:val="black"/>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International Financial Reporting Standards as issued by the International</w:t>
      </w:r>
    </w:p>
    <w:p>
      <w:pPr>
        <w:spacing w:after="0" w:line="27" w:lineRule="exact"/>
        <w:rPr>
          <w:sz w:val="20"/>
          <w:szCs w:val="20"/>
          <w:color w:val="auto"/>
        </w:rPr>
      </w:pPr>
    </w:p>
    <w:p>
      <w:pPr>
        <w:jc w:val="center"/>
        <w:ind w:right="120"/>
        <w:spacing w:after="0" w:line="228" w:lineRule="exact"/>
        <w:rPr>
          <w:sz w:val="20"/>
          <w:szCs w:val="20"/>
          <w:color w:val="auto"/>
        </w:rPr>
      </w:pPr>
      <w:r>
        <w:rPr>
          <w:rFonts w:ascii="Times New Roman" w:cs="Times New Roman" w:eastAsia="Times New Roman" w:hAnsi="Times New Roman"/>
          <w:sz w:val="17"/>
          <w:szCs w:val="17"/>
          <w:b w:val="1"/>
          <w:bCs w:val="1"/>
          <w:color w:val="auto"/>
        </w:rPr>
        <w:t xml:space="preserve">Accounting Standards Board </w:t>
      </w:r>
      <w:r>
        <w:rPr>
          <w:rFonts w:ascii="Times New Roman" w:cs="Times New Roman" w:eastAsia="Times New Roman" w:hAnsi="Times New Roman"/>
          <w:sz w:val="17"/>
          <w:szCs w:val="17"/>
          <w:color w:val="auto"/>
        </w:rPr>
        <w:t> </w:t>
      </w:r>
      <w:r>
        <w:rPr>
          <w:rFonts w:ascii="Arial Unicode MS" w:cs="Arial Unicode MS" w:eastAsia="Arial Unicode MS" w:hAnsi="Arial Unicode MS"/>
          <w:sz w:val="17"/>
          <w:szCs w:val="17"/>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Arial Unicode MS" w:cs="Arial Unicode MS" w:eastAsia="Arial Unicode MS" w:hAnsi="Arial Unicode MS"/>
          <w:sz w:val="17"/>
          <w:szCs w:val="17"/>
          <w:color w:val="auto"/>
        </w:rPr>
        <w:t>☐</w:t>
      </w:r>
    </w:p>
    <w:p>
      <w:pPr>
        <w:spacing w:after="0" w:line="433" w:lineRule="exact"/>
        <w:rPr>
          <w:sz w:val="20"/>
          <w:szCs w:val="20"/>
          <w:color w:val="auto"/>
        </w:rPr>
      </w:pPr>
    </w:p>
    <w:p>
      <w:pPr>
        <w:sectPr>
          <w:pgSz w:w="11900" w:h="16848" w:orient="portrait"/>
          <w:cols w:equalWidth="0" w:num="3">
            <w:col w:w="2140" w:space="720"/>
            <w:col w:w="5460" w:space="720"/>
            <w:col w:w="2200"/>
          </w:cols>
          <w:pgMar w:left="320" w:top="123" w:right="339" w:bottom="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statements item the registrant has elected to follow.</w:t>
      </w:r>
    </w:p>
    <w:p>
      <w:pPr>
        <w:spacing w:after="0" w:line="191" w:lineRule="exact"/>
        <w:rPr>
          <w:sz w:val="20"/>
          <w:szCs w:val="20"/>
          <w:color w:val="auto"/>
        </w:rPr>
      </w:pPr>
    </w:p>
    <w:p>
      <w:pPr>
        <w:ind w:left="4360"/>
        <w:spacing w:after="0" w:line="228" w:lineRule="exact"/>
        <w:tabs>
          <w:tab w:leader="none" w:pos="5940" w:val="left"/>
        </w:tabs>
        <w:rPr>
          <w:sz w:val="20"/>
          <w:szCs w:val="20"/>
          <w:color w:val="auto"/>
        </w:rPr>
      </w:pPr>
      <w:r>
        <w:rPr>
          <w:rFonts w:ascii="Times New Roman" w:cs="Times New Roman" w:eastAsia="Times New Roman" w:hAnsi="Times New Roman"/>
          <w:sz w:val="17"/>
          <w:szCs w:val="17"/>
          <w:b w:val="1"/>
          <w:bCs w:val="1"/>
          <w:color w:val="auto"/>
        </w:rPr>
        <w:t xml:space="preserve">ITEM 17  </w:t>
      </w:r>
      <w:r>
        <w:rPr>
          <w:rFonts w:ascii="Arial Unicode MS" w:cs="Arial Unicode MS" w:eastAsia="Arial Unicode MS" w:hAnsi="Arial Unicode MS"/>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ITEM 18  </w:t>
      </w:r>
      <w:r>
        <w:rPr>
          <w:rFonts w:ascii="Arial Unicode MS" w:cs="Arial Unicode MS" w:eastAsia="Arial Unicode MS" w:hAnsi="Arial Unicode MS"/>
          <w:sz w:val="17"/>
          <w:szCs w:val="17"/>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ind w:left="4720"/>
        <w:spacing w:after="0" w:line="228" w:lineRule="exact"/>
        <w:tabs>
          <w:tab w:leader="none" w:pos="60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Arial Unicode MS" w:cs="Arial Unicode MS" w:eastAsia="Arial Unicode MS" w:hAnsi="Arial Unicode MS"/>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Arial Unicode MS" w:cs="Arial Unicode MS" w:eastAsia="Arial Unicode MS" w:hAnsi="Arial Unicode MS"/>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424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7142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PRODUCT PARTNERS L.P.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EE"/>
              </w:rPr>
              <w:t>Part I</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40" w:type="dxa"/>
            <w:vAlign w:val="bottom"/>
            <w:gridSpan w:val="3"/>
          </w:tcPr>
          <w:p>
            <w:pPr>
              <w:ind w:left="2320"/>
              <w:spacing w:after="0"/>
              <w:rPr>
                <w:sz w:val="20"/>
                <w:szCs w:val="20"/>
                <w:color w:val="auto"/>
              </w:rPr>
            </w:pPr>
            <w:r>
              <w:rPr>
                <w:rFonts w:ascii="Times New Roman" w:cs="Times New Roman" w:eastAsia="Times New Roman" w:hAnsi="Times New Roman"/>
                <w:sz w:val="17"/>
                <w:szCs w:val="17"/>
                <w:color w:val="auto"/>
                <w:w w:val="90"/>
              </w:rPr>
              <w:t>Page</w:t>
            </w:r>
          </w:p>
        </w:tc>
        <w:tc>
          <w:tcPr>
            <w:tcW w:w="0" w:type="dxa"/>
            <w:vAlign w:val="bottom"/>
          </w:tcPr>
          <w:p>
            <w:pPr>
              <w:spacing w:after="0"/>
              <w:rPr>
                <w:sz w:val="1"/>
                <w:szCs w:val="1"/>
                <w:color w:val="auto"/>
              </w:rPr>
            </w:pPr>
          </w:p>
        </w:tc>
      </w:tr>
      <w:tr>
        <w:trPr>
          <w:trHeight w:val="163"/>
        </w:trPr>
        <w:tc>
          <w:tcPr>
            <w:tcW w:w="7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EE"/>
                <w:w w:val="98"/>
              </w:rPr>
              <w:t>Identity of Directors, Senior Management and Advisors</w:t>
            </w:r>
          </w:p>
        </w:tc>
        <w:tc>
          <w:tcPr>
            <w:tcW w:w="3800" w:type="dxa"/>
            <w:vAlign w:val="bottom"/>
            <w:gridSpan w:val="3"/>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0000EE"/>
                <w:w w:val="93"/>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EE"/>
                <w:w w:val="96"/>
              </w:rPr>
              <w:t>Offer Statistics and Expected Timetable</w:t>
            </w:r>
          </w:p>
        </w:tc>
        <w:tc>
          <w:tcPr>
            <w:tcW w:w="1080" w:type="dxa"/>
            <w:vAlign w:val="bottom"/>
            <w:gridSpan w:val="4"/>
          </w:tcPr>
          <w:p>
            <w:pPr>
              <w:spacing w:after="0"/>
              <w:rPr>
                <w:sz w:val="15"/>
                <w:szCs w:val="15"/>
                <w:color w:val="auto"/>
              </w:rPr>
            </w:pPr>
          </w:p>
        </w:tc>
        <w:tc>
          <w:tcPr>
            <w:tcW w:w="3800" w:type="dxa"/>
            <w:vAlign w:val="bottom"/>
            <w:gridSpan w:val="3"/>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0000EE"/>
                <w:w w:val="93"/>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EE"/>
              </w:rPr>
              <w:t>Key Information</w:t>
            </w:r>
          </w:p>
        </w:tc>
        <w:tc>
          <w:tcPr>
            <w:tcW w:w="4880" w:type="dxa"/>
            <w:vAlign w:val="bottom"/>
            <w:gridSpan w:val="7"/>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0000EE"/>
                <w:w w:val="93"/>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54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EE"/>
              </w:rPr>
              <w:t>Information on the Partnership</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37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w w:val="96"/>
              </w:rPr>
              <w:t>Operating and Financial Review and Prospects</w:t>
            </w:r>
          </w:p>
        </w:tc>
        <w:tc>
          <w:tcPr>
            <w:tcW w:w="4420" w:type="dxa"/>
            <w:vAlign w:val="bottom"/>
            <w:gridSpan w:val="6"/>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w w:val="96"/>
              </w:rPr>
              <w:t>Directors, Senior Management and Employees</w:t>
            </w:r>
          </w:p>
        </w:tc>
        <w:tc>
          <w:tcPr>
            <w:tcW w:w="4420" w:type="dxa"/>
            <w:vAlign w:val="bottom"/>
            <w:gridSpan w:val="6"/>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61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EE"/>
                <w:w w:val="95"/>
              </w:rPr>
              <w:t>Major Unitholders and Related-Party Transactions</w:t>
            </w:r>
          </w:p>
        </w:tc>
        <w:tc>
          <w:tcPr>
            <w:tcW w:w="4200" w:type="dxa"/>
            <w:vAlign w:val="bottom"/>
            <w:gridSpan w:val="5"/>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65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5"/>
              </w:rPr>
              <w:t>Financial Information</w:t>
            </w:r>
          </w:p>
        </w:tc>
        <w:tc>
          <w:tcPr>
            <w:tcW w:w="1880" w:type="dxa"/>
            <w:vAlign w:val="bottom"/>
            <w:gridSpan w:val="7"/>
          </w:tcPr>
          <w:p>
            <w:pPr>
              <w:spacing w:after="0"/>
              <w:rPr>
                <w:sz w:val="15"/>
                <w:szCs w:val="15"/>
                <w:color w:val="auto"/>
              </w:rPr>
            </w:pPr>
          </w:p>
        </w:tc>
        <w:tc>
          <w:tcPr>
            <w:tcW w:w="4200" w:type="dxa"/>
            <w:vAlign w:val="bottom"/>
            <w:gridSpan w:val="5"/>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71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4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Item 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5"/>
              </w:rPr>
              <w:t>The Offer and Listing</w:t>
            </w:r>
          </w:p>
        </w:tc>
        <w:tc>
          <w:tcPr>
            <w:tcW w:w="6080" w:type="dxa"/>
            <w:vAlign w:val="bottom"/>
            <w:gridSpan w:val="12"/>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77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10.</w:t>
            </w:r>
          </w:p>
        </w:tc>
        <w:tc>
          <w:tcPr>
            <w:tcW w:w="60" w:type="dxa"/>
            <w:vAlign w:val="bottom"/>
          </w:tcPr>
          <w:p>
            <w:pPr>
              <w:spacing w:after="0"/>
              <w:rPr>
                <w:sz w:val="15"/>
                <w:szCs w:val="15"/>
                <w:color w:val="auto"/>
              </w:rPr>
            </w:pPr>
          </w:p>
        </w:tc>
        <w:tc>
          <w:tcPr>
            <w:tcW w:w="754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EE"/>
              </w:rPr>
              <w:t>Additional Information</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77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11.</w:t>
            </w:r>
          </w:p>
        </w:tc>
        <w:tc>
          <w:tcPr>
            <w:tcW w:w="60" w:type="dxa"/>
            <w:vAlign w:val="bottom"/>
          </w:tcPr>
          <w:p>
            <w:pPr>
              <w:spacing w:after="0"/>
              <w:rPr>
                <w:sz w:val="15"/>
                <w:szCs w:val="15"/>
                <w:color w:val="auto"/>
              </w:rPr>
            </w:pPr>
          </w:p>
        </w:tc>
        <w:tc>
          <w:tcPr>
            <w:tcW w:w="754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12.</w:t>
            </w:r>
          </w:p>
        </w:tc>
        <w:tc>
          <w:tcPr>
            <w:tcW w:w="60" w:type="dxa"/>
            <w:vAlign w:val="bottom"/>
          </w:tcPr>
          <w:p>
            <w:pPr>
              <w:spacing w:after="0"/>
              <w:rPr>
                <w:sz w:val="15"/>
                <w:szCs w:val="15"/>
                <w:color w:val="auto"/>
              </w:rPr>
            </w:pPr>
          </w:p>
        </w:tc>
        <w:tc>
          <w:tcPr>
            <w:tcW w:w="400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EE"/>
              </w:rPr>
              <w:t>Description of Securities Other than Equity Securities</w:t>
            </w:r>
          </w:p>
        </w:tc>
        <w:tc>
          <w:tcPr>
            <w:tcW w:w="3540" w:type="dxa"/>
            <w:vAlign w:val="bottom"/>
            <w:gridSpan w:val="2"/>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EE"/>
              </w:rPr>
              <w:t>Part II</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13.</w:t>
            </w:r>
          </w:p>
        </w:tc>
        <w:tc>
          <w:tcPr>
            <w:tcW w:w="60" w:type="dxa"/>
            <w:vAlign w:val="bottom"/>
          </w:tcPr>
          <w:p>
            <w:pPr>
              <w:spacing w:after="0"/>
              <w:rPr>
                <w:sz w:val="15"/>
                <w:szCs w:val="15"/>
                <w:color w:val="auto"/>
              </w:rPr>
            </w:pPr>
          </w:p>
        </w:tc>
        <w:tc>
          <w:tcPr>
            <w:tcW w:w="334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EE"/>
                <w:w w:val="97"/>
              </w:rPr>
              <w:t>Defaults, Dividend Arrearages and Delinquencies</w:t>
            </w:r>
          </w:p>
        </w:tc>
        <w:tc>
          <w:tcPr>
            <w:tcW w:w="4200" w:type="dxa"/>
            <w:vAlign w:val="bottom"/>
            <w:gridSpan w:val="5"/>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14.</w:t>
            </w:r>
          </w:p>
        </w:tc>
        <w:tc>
          <w:tcPr>
            <w:tcW w:w="60" w:type="dxa"/>
            <w:vAlign w:val="bottom"/>
          </w:tcPr>
          <w:p>
            <w:pPr>
              <w:spacing w:after="0"/>
              <w:rPr>
                <w:sz w:val="15"/>
                <w:szCs w:val="15"/>
                <w:color w:val="auto"/>
              </w:rPr>
            </w:pPr>
          </w:p>
        </w:tc>
        <w:tc>
          <w:tcPr>
            <w:tcW w:w="754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EE"/>
              </w:rPr>
              <w:t>Material Modifications to the Rights of Security Holders and Use of Proceeds</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40" w:type="dxa"/>
            <w:vAlign w:val="bottom"/>
            <w:tcBorders>
              <w:left w:val="single" w:sz="8" w:color="0000EE"/>
            </w:tcBorders>
            <w:gridSpan w:val="6"/>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5"/>
              </w:rPr>
              <w:t>Item 15.</w:t>
            </w:r>
          </w:p>
        </w:tc>
        <w:tc>
          <w:tcPr>
            <w:tcW w:w="60" w:type="dxa"/>
            <w:vAlign w:val="bottom"/>
          </w:tcPr>
          <w:p>
            <w:pPr>
              <w:spacing w:after="0"/>
              <w:rPr>
                <w:sz w:val="15"/>
                <w:szCs w:val="15"/>
                <w:color w:val="auto"/>
              </w:rPr>
            </w:pPr>
          </w:p>
        </w:tc>
        <w:tc>
          <w:tcPr>
            <w:tcW w:w="520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EE"/>
              </w:rPr>
              <w:t>Controls and Procedures.</w:t>
            </w:r>
          </w:p>
        </w:tc>
        <w:tc>
          <w:tcPr>
            <w:tcW w:w="2340" w:type="dxa"/>
            <w:vAlign w:val="bottom"/>
          </w:tcPr>
          <w:p>
            <w:pPr>
              <w:spacing w:after="0"/>
              <w:rPr>
                <w:sz w:val="15"/>
                <w:szCs w:val="15"/>
                <w:color w:val="auto"/>
              </w:rPr>
            </w:pP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85</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6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70"/>
              </w:rPr>
              <w:t>Item</w:t>
            </w:r>
          </w:p>
        </w:tc>
        <w:tc>
          <w:tcPr>
            <w:tcW w:w="300" w:type="dxa"/>
            <w:vAlign w:val="bottom"/>
            <w:tcBorders>
              <w:top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34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5"/>
              </w:rPr>
              <w:t>16A.</w:t>
            </w: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754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EE"/>
              </w:rPr>
              <w:t>Audit Committee Financial Expert</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86</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6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70"/>
              </w:rPr>
              <w:t>Item</w:t>
            </w:r>
          </w:p>
        </w:tc>
        <w:tc>
          <w:tcPr>
            <w:tcW w:w="80" w:type="dxa"/>
            <w:vAlign w:val="bottom"/>
            <w:tcBorders>
              <w:top w:val="single" w:sz="8" w:color="0000EE"/>
            </w:tcBorders>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rPr>
              <w:t>16B.</w:t>
            </w:r>
          </w:p>
        </w:tc>
        <w:tc>
          <w:tcPr>
            <w:tcW w:w="7600" w:type="dxa"/>
            <w:vAlign w:val="bottom"/>
            <w:gridSpan w:val="16"/>
          </w:tcPr>
          <w:p>
            <w:pPr>
              <w:ind w:left="60"/>
              <w:spacing w:after="0" w:line="181" w:lineRule="exact"/>
              <w:rPr>
                <w:sz w:val="20"/>
                <w:szCs w:val="20"/>
                <w:color w:val="auto"/>
              </w:rPr>
            </w:pPr>
            <w:r>
              <w:rPr>
                <w:rFonts w:ascii="Times New Roman" w:cs="Times New Roman" w:eastAsia="Times New Roman" w:hAnsi="Times New Roman"/>
                <w:sz w:val="17"/>
                <w:szCs w:val="17"/>
                <w:color w:val="0000EE"/>
              </w:rPr>
              <w:t>Code of Ethics</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86</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6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70"/>
              </w:rPr>
              <w:t>Item</w:t>
            </w:r>
          </w:p>
        </w:tc>
        <w:tc>
          <w:tcPr>
            <w:tcW w:w="3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5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rPr>
              <w:t>16C.</w:t>
            </w:r>
          </w:p>
        </w:tc>
        <w:tc>
          <w:tcPr>
            <w:tcW w:w="7600" w:type="dxa"/>
            <w:vAlign w:val="bottom"/>
            <w:gridSpan w:val="16"/>
          </w:tcPr>
          <w:p>
            <w:pPr>
              <w:ind w:left="60"/>
              <w:spacing w:after="0" w:line="181"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2640" w:type="dxa"/>
            <w:vAlign w:val="bottom"/>
            <w:gridSpan w:val="3"/>
          </w:tcPr>
          <w:p>
            <w:pPr>
              <w:jc w:val="center"/>
              <w:ind w:left="2237"/>
              <w:spacing w:after="0" w:line="181" w:lineRule="exact"/>
              <w:rPr>
                <w:sz w:val="20"/>
                <w:szCs w:val="20"/>
                <w:color w:val="auto"/>
              </w:rPr>
            </w:pPr>
            <w:r>
              <w:rPr>
                <w:rFonts w:ascii="Times New Roman" w:cs="Times New Roman" w:eastAsia="Times New Roman" w:hAnsi="Times New Roman"/>
                <w:sz w:val="17"/>
                <w:szCs w:val="17"/>
                <w:color w:val="0000EE"/>
                <w:w w:val="93"/>
              </w:rPr>
              <w:t>87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8" w:orient="portrait"/>
          <w:cols w:equalWidth="0" w:num="1">
            <w:col w:w="11240"/>
          </w:cols>
          <w:pgMar w:left="320" w:top="12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83"/>
              </w:rPr>
              <w:t>Item</w:t>
            </w:r>
          </w:p>
        </w:tc>
        <w:tc>
          <w:tcPr>
            <w:tcW w:w="320" w:type="dxa"/>
            <w:vAlign w:val="bottom"/>
            <w:gridSpan w:val="4"/>
          </w:tcPr>
          <w:p>
            <w:pPr>
              <w:spacing w:after="0"/>
              <w:rPr>
                <w:sz w:val="17"/>
                <w:szCs w:val="17"/>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Exemptions from the Listing Standards for Audit Committees</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EE"/>
              </w:rPr>
              <w:t>87</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16D.</w:t>
            </w:r>
          </w:p>
        </w:tc>
        <w:tc>
          <w:tcPr>
            <w:tcW w:w="2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0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83"/>
              </w:rPr>
              <w:t>Item</w:t>
            </w:r>
          </w:p>
        </w:tc>
        <w:tc>
          <w:tcPr>
            <w:tcW w:w="320" w:type="dxa"/>
            <w:vAlign w:val="bottom"/>
            <w:gridSpan w:val="4"/>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EE"/>
              </w:rPr>
              <w:t>16E.</w:t>
            </w:r>
          </w:p>
        </w:tc>
        <w:tc>
          <w:tcPr>
            <w:tcW w:w="280" w:type="dxa"/>
            <w:vAlign w:val="bottom"/>
            <w:gridSpan w:val="3"/>
          </w:tcPr>
          <w:p>
            <w:pPr>
              <w:spacing w:after="0"/>
              <w:rPr>
                <w:sz w:val="15"/>
                <w:szCs w:val="15"/>
                <w:color w:val="auto"/>
              </w:rPr>
            </w:pPr>
          </w:p>
        </w:tc>
        <w:tc>
          <w:tcPr>
            <w:tcW w:w="468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EE"/>
                <w:w w:val="98"/>
              </w:rPr>
              <w:t>Purchases of Equity Securities by the Issuer and Affiliated Purchasers</w:t>
            </w:r>
          </w:p>
        </w:tc>
        <w:tc>
          <w:tcPr>
            <w:tcW w:w="4560" w:type="dxa"/>
            <w:vAlign w:val="bottom"/>
          </w:tcPr>
          <w:p>
            <w:pPr>
              <w:spacing w:after="0"/>
              <w:rPr>
                <w:sz w:val="15"/>
                <w:szCs w:val="15"/>
                <w:color w:val="auto"/>
              </w:rPr>
            </w:pP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87</w:t>
            </w: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83"/>
              </w:rPr>
              <w:t>Item</w:t>
            </w:r>
          </w:p>
        </w:tc>
        <w:tc>
          <w:tcPr>
            <w:tcW w:w="40" w:type="dxa"/>
            <w:vAlign w:val="bottom"/>
            <w:tcBorders>
              <w:top w:val="single" w:sz="8" w:color="0000EE"/>
            </w:tcBorders>
          </w:tcPr>
          <w:p>
            <w:pPr>
              <w:spacing w:after="0"/>
              <w:rPr>
                <w:sz w:val="15"/>
                <w:szCs w:val="15"/>
                <w:color w:val="auto"/>
              </w:rPr>
            </w:pPr>
          </w:p>
        </w:tc>
        <w:tc>
          <w:tcPr>
            <w:tcW w:w="280" w:type="dxa"/>
            <w:vAlign w:val="bottom"/>
            <w:gridSpan w:val="3"/>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EE"/>
                <w:w w:val="84"/>
              </w:rPr>
              <w:t>16F.</w:t>
            </w:r>
          </w:p>
        </w:tc>
        <w:tc>
          <w:tcPr>
            <w:tcW w:w="320" w:type="dxa"/>
            <w:vAlign w:val="bottom"/>
            <w:gridSpan w:val="4"/>
          </w:tcPr>
          <w:p>
            <w:pPr>
              <w:spacing w:after="0"/>
              <w:rPr>
                <w:sz w:val="15"/>
                <w:szCs w:val="15"/>
                <w:color w:val="auto"/>
              </w:rPr>
            </w:pPr>
          </w:p>
        </w:tc>
        <w:tc>
          <w:tcPr>
            <w:tcW w:w="92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Change in Registrant’s Certifying Accountant</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88</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30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83"/>
              </w:rPr>
              <w:t>Item</w:t>
            </w:r>
          </w:p>
        </w:tc>
        <w:tc>
          <w:tcPr>
            <w:tcW w:w="320" w:type="dxa"/>
            <w:vAlign w:val="bottom"/>
            <w:gridSpan w:val="4"/>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16G.</w:t>
            </w:r>
          </w:p>
        </w:tc>
        <w:tc>
          <w:tcPr>
            <w:tcW w:w="260" w:type="dxa"/>
            <w:vAlign w:val="bottom"/>
            <w:gridSpan w:val="2"/>
          </w:tcPr>
          <w:p>
            <w:pPr>
              <w:spacing w:after="0"/>
              <w:rPr>
                <w:sz w:val="15"/>
                <w:szCs w:val="15"/>
                <w:color w:val="auto"/>
              </w:rPr>
            </w:pPr>
          </w:p>
        </w:tc>
        <w:tc>
          <w:tcPr>
            <w:tcW w:w="92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Corporate Governance</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88</w:t>
            </w: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83"/>
              </w:rPr>
              <w:t>Item</w:t>
            </w:r>
          </w:p>
        </w:tc>
        <w:tc>
          <w:tcPr>
            <w:tcW w:w="60" w:type="dxa"/>
            <w:vAlign w:val="bottom"/>
            <w:tcBorders>
              <w:top w:val="single" w:sz="8" w:color="0000EE"/>
            </w:tcBorders>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16H.</w:t>
            </w:r>
          </w:p>
        </w:tc>
        <w:tc>
          <w:tcPr>
            <w:tcW w:w="260" w:type="dxa"/>
            <w:vAlign w:val="bottom"/>
            <w:gridSpan w:val="2"/>
          </w:tcPr>
          <w:p>
            <w:pPr>
              <w:spacing w:after="0"/>
              <w:rPr>
                <w:sz w:val="15"/>
                <w:szCs w:val="15"/>
                <w:color w:val="auto"/>
              </w:rPr>
            </w:pPr>
          </w:p>
        </w:tc>
        <w:tc>
          <w:tcPr>
            <w:tcW w:w="92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Mine Safety Disclosure</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88</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51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EE"/>
                <w:w w:val="98"/>
              </w:rPr>
              <w:t>Item 16I.Disclosure Regarding Foreign Jurisdictions that Prevent Inspections</w:t>
            </w:r>
          </w:p>
        </w:tc>
        <w:tc>
          <w:tcPr>
            <w:tcW w:w="4680" w:type="dxa"/>
            <w:vAlign w:val="bottom"/>
            <w:gridSpan w:val="2"/>
          </w:tcPr>
          <w:p>
            <w:pPr>
              <w:spacing w:after="0"/>
              <w:rPr>
                <w:sz w:val="15"/>
                <w:szCs w:val="15"/>
                <w:color w:val="auto"/>
              </w:rPr>
            </w:pP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88</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46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86"/>
              </w:rPr>
              <w:t>Part III</w:t>
            </w:r>
          </w:p>
        </w:tc>
        <w:tc>
          <w:tcPr>
            <w:tcW w:w="320" w:type="dxa"/>
            <w:vAlign w:val="bottom"/>
            <w:gridSpan w:val="4"/>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986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89</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986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89</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60" w:type="dxa"/>
            <w:vAlign w:val="bottom"/>
          </w:tcPr>
          <w:p>
            <w:pPr>
              <w:spacing w:after="0"/>
              <w:rPr>
                <w:sz w:val="15"/>
                <w:szCs w:val="15"/>
                <w:color w:val="auto"/>
              </w:rPr>
            </w:pPr>
          </w:p>
        </w:tc>
        <w:tc>
          <w:tcPr>
            <w:tcW w:w="986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EE"/>
              </w:rPr>
              <w:t>Item 19. Exhibits</w:t>
            </w:r>
          </w:p>
        </w:tc>
        <w:tc>
          <w:tcPr>
            <w:tcW w:w="11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0000EE"/>
              </w:rPr>
              <w:t>90</w:t>
            </w:r>
          </w:p>
        </w:tc>
        <w:tc>
          <w:tcPr>
            <w:tcW w:w="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1"/>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80" w:type="dxa"/>
            <w:vAlign w:val="bottom"/>
            <w:gridSpan w:val="8"/>
          </w:tcPr>
          <w:p>
            <w:pPr>
              <w:jc w:val="right"/>
              <w:ind w:right="434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4"/>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ABOUT THIS REPORT</w:t>
      </w:r>
    </w:p>
    <w:p>
      <w:pPr>
        <w:spacing w:after="0" w:line="184"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This annual report on Form 20-F (this “Annual Report”) should be read in conjunction with our audited consolidated balance sheets as of December 31, 2022 and 2021, the related consolidated statements of comprehensive income, changes in partners’ capital, and cash flows, for each of the three years in the period ended December 31, 2022, and the related notes included herein (the “Financial Statements”).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this Annual Report, unless the context otherwise requires:</w:t>
      </w:r>
    </w:p>
    <w:p>
      <w:pPr>
        <w:spacing w:after="0" w:line="193" w:lineRule="exact"/>
        <w:rPr>
          <w:sz w:val="20"/>
          <w:szCs w:val="20"/>
          <w:color w:val="auto"/>
        </w:rPr>
      </w:pPr>
    </w:p>
    <w:p>
      <w:pPr>
        <w:ind w:left="1040" w:right="560" w:hanging="263"/>
        <w:spacing w:after="0" w:line="30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“CPLP”, “we”, “us” or “our” refer to Capital Product Partners L.P. and, unless the context otherwise requires, its consolidated subsidiaries;</w:t>
      </w:r>
    </w:p>
    <w:p>
      <w:pPr>
        <w:spacing w:after="0" w:line="109" w:lineRule="exact"/>
        <w:rPr>
          <w:rFonts w:ascii="Times New Roman" w:cs="Times New Roman" w:eastAsia="Times New Roman" w:hAnsi="Times New Roman"/>
          <w:sz w:val="17"/>
          <w:szCs w:val="17"/>
          <w:color w:val="auto"/>
        </w:rPr>
      </w:pPr>
    </w:p>
    <w:p>
      <w:pPr>
        <w:ind w:left="1040" w:hanging="263"/>
        <w:spacing w:after="0" w:line="28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“CPLP PLC” refers to CPLP Shipping Holdings PLC, a public limited liability company and wholly owned subsidiary of CPLP, which issued €100.0 million and €150.0 million of senior unsecured bonds guaranteed by CPLP (the “Bonds”) listed on the Athens Stock Exchange in July 2022 and October 2021, respectively;</w:t>
      </w:r>
    </w:p>
    <w:p>
      <w:pPr>
        <w:spacing w:after="0" w:line="13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Maritime” or “CMTC” refer to Capital Maritime &amp; Trading Corp., our sponsor;</w:t>
      </w:r>
    </w:p>
    <w:p>
      <w:pPr>
        <w:spacing w:after="0" w:line="242"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Partner” refers to Capital GP L.L.C., our general partner;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“Capital-Executive” refers to Capital-Executive Ship Management Corp.</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Ship Management” refers to Capital Ship Management Corp.</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Gas” refers to Capital Gas Ship Management Corp.</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“Managers” refers to our managers, Capital-Executive , Capital Ship Management and Capital Gas;</w:t>
      </w:r>
    </w:p>
    <w:p>
      <w:pPr>
        <w:spacing w:after="0" w:line="167" w:lineRule="exact"/>
        <w:rPr>
          <w:rFonts w:ascii="Times New Roman" w:cs="Times New Roman" w:eastAsia="Times New Roman" w:hAnsi="Times New Roman"/>
          <w:sz w:val="17"/>
          <w:szCs w:val="17"/>
          <w:color w:val="auto"/>
        </w:rPr>
      </w:pPr>
    </w:p>
    <w:p>
      <w:pPr>
        <w:ind w:left="1040" w:right="140" w:hanging="263"/>
        <w:spacing w:after="0" w:line="30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arrangements” refers to our debt financing arrangements as well as to our sale-leaseback financing arrangements, seller’s credit agreements and the Bonds; and</w:t>
      </w:r>
    </w:p>
    <w:p>
      <w:pPr>
        <w:spacing w:after="0" w:line="121"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includes indebtedness under the financing arrangements.</w:t>
      </w:r>
    </w:p>
    <w:p>
      <w:pPr>
        <w:spacing w:after="0" w:line="200" w:lineRule="exact"/>
        <w:rPr>
          <w:sz w:val="20"/>
          <w:szCs w:val="20"/>
          <w:color w:val="auto"/>
        </w:rPr>
      </w:pPr>
    </w:p>
    <w:p>
      <w:pPr>
        <w:spacing w:after="0" w:line="268"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84" w:lineRule="exact"/>
        <w:rPr>
          <w:sz w:val="20"/>
          <w:szCs w:val="20"/>
          <w:color w:val="auto"/>
        </w:rPr>
      </w:pPr>
    </w:p>
    <w:p>
      <w:pPr>
        <w:jc w:val="both"/>
        <w:ind w:firstLine="523"/>
        <w:spacing w:after="0" w:line="229" w:lineRule="auto"/>
        <w:rPr>
          <w:sz w:val="20"/>
          <w:szCs w:val="20"/>
          <w:color w:val="auto"/>
        </w:rPr>
      </w:pPr>
      <w:r>
        <w:rPr>
          <w:rFonts w:ascii="Times New Roman" w:cs="Times New Roman" w:eastAsia="Times New Roman" w:hAnsi="Times New Roman"/>
          <w:sz w:val="17"/>
          <w:szCs w:val="17"/>
          <w:color w:val="auto"/>
        </w:rPr>
        <w:t>Our disclosure and analysis in this Annual Report concerning our business, operations, cash flows, and financial position, including, among other things, the likelihood of our success in developing and expanding our business, include “forward-looking statements” within the meaning of the safe harbor provisions of the U.S. Private Securities Litigation Reform Act of 1995. Such statements include, in particular, statements about our plans, strategies, business prospects, changes and trends in our business, financial condition and the markets in which we operate, and involve risks and uncertainties. In some cases, you can identify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128" w:lineRule="exact"/>
        <w:rPr>
          <w:sz w:val="20"/>
          <w:szCs w:val="20"/>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our ability to make distributions on our common units;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our cash available for distribution over time;</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global economic outlook and growth;</w:t>
      </w:r>
    </w:p>
    <w:p>
      <w:pPr>
        <w:spacing w:after="0" w:line="205"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shipping conditions and fundamentals, including the balance of supply and demand, as well as trends and conditions in the newbuild markets and scrapping of older vessels;</w:t>
      </w:r>
    </w:p>
    <w:p>
      <w:pPr>
        <w:spacing w:after="0" w:line="158" w:lineRule="exact"/>
        <w:rPr>
          <w:rFonts w:ascii="Times New Roman" w:cs="Times New Roman" w:eastAsia="Times New Roman" w:hAnsi="Times New Roman"/>
          <w:sz w:val="17"/>
          <w:szCs w:val="17"/>
          <w:color w:val="auto"/>
        </w:rPr>
      </w:pPr>
    </w:p>
    <w:p>
      <w:pPr>
        <w:ind w:left="600" w:right="260" w:hanging="299"/>
        <w:spacing w:after="0" w:line="272"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and future business and growth strategies and other plans and objectives for future operations; future acquisitions and deliveries of vessels from Capital Maritime or third parties;</w:t>
      </w:r>
    </w:p>
    <w:p>
      <w:pPr>
        <w:spacing w:after="0" w:line="158" w:lineRule="exact"/>
        <w:rPr>
          <w:rFonts w:ascii="Times New Roman" w:cs="Times New Roman" w:eastAsia="Times New Roman" w:hAnsi="Times New Roman"/>
          <w:sz w:val="17"/>
          <w:szCs w:val="17"/>
          <w:color w:val="auto"/>
        </w:rPr>
      </w:pPr>
    </w:p>
    <w:p>
      <w:pPr>
        <w:ind w:left="600" w:right="300" w:hanging="299"/>
        <w:spacing w:after="0" w:line="272"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ability to enter into medium- or long-term, fixed-rate time charters with our charterers and to re-charter our vessels at attractive rates as their existing charters expire;</w:t>
      </w:r>
    </w:p>
    <w:p>
      <w:pPr>
        <w:spacing w:after="0" w:line="158"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relationships and reputations of our Managers and our General Partner in the shipping industry;</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viability and sustainability of our charterers, including their ability to meet their obligations under the terms of our charter agreements;</w:t>
      </w:r>
    </w:p>
    <w:p>
      <w:pPr>
        <w:spacing w:after="0" w:line="216" w:lineRule="exact"/>
        <w:rPr>
          <w:rFonts w:ascii="Times New Roman" w:cs="Times New Roman" w:eastAsia="Times New Roman" w:hAnsi="Times New Roman"/>
          <w:sz w:val="16"/>
          <w:szCs w:val="16"/>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with regard to the COVID-19 pandemic and its impact on the global economy, international trade and shipping markets;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maximize the use of our vessels;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debt, credit and equity markets;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refinance or repay our financing under our financing arrangements and settle our hedging arrangements;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planned capital expenditures and availability of capital resources to fund capital expenditures;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lifespan and condition of our vessels;</w:t>
      </w:r>
    </w:p>
    <w:p>
      <w:pPr>
        <w:spacing w:after="0" w:line="205" w:lineRule="exact"/>
        <w:rPr>
          <w:rFonts w:ascii="Times New Roman" w:cs="Times New Roman" w:eastAsia="Times New Roman" w:hAnsi="Times New Roman"/>
          <w:sz w:val="17"/>
          <w:szCs w:val="17"/>
          <w:color w:val="auto"/>
        </w:rPr>
      </w:pPr>
    </w:p>
    <w:p>
      <w:pPr>
        <w:ind w:left="600" w:right="300" w:hanging="299"/>
        <w:spacing w:after="0" w:line="259"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regulatory requirements applicable to the shipping industry, including, without limitation, stricter requirements adopted by international organizations and the European Union (“EU”), or by individual countries or charterers and actions taken by regulatory authorities overseeing such areas as safety and environmental compliance;</w:t>
      </w:r>
    </w:p>
    <w:p>
      <w:pPr>
        <w:spacing w:after="0" w:line="168"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operate exhaust gas cleaning systems (“scrubbers”) on certain or all of our vessels;</w:t>
      </w:r>
    </w:p>
    <w:p>
      <w:pPr>
        <w:spacing w:after="0" w:line="205" w:lineRule="exact"/>
        <w:rPr>
          <w:rFonts w:ascii="Times New Roman" w:cs="Times New Roman" w:eastAsia="Times New Roman" w:hAnsi="Times New Roman"/>
          <w:sz w:val="17"/>
          <w:szCs w:val="17"/>
          <w:color w:val="auto"/>
        </w:rPr>
      </w:pPr>
    </w:p>
    <w:p>
      <w:pPr>
        <w:ind w:left="600" w:right="880" w:hanging="299"/>
        <w:spacing w:after="0" w:line="272"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158" w:lineRule="exact"/>
        <w:rPr>
          <w:rFonts w:ascii="Times New Roman" w:cs="Times New Roman" w:eastAsia="Times New Roman" w:hAnsi="Times New Roman"/>
          <w:sz w:val="17"/>
          <w:szCs w:val="17"/>
          <w:color w:val="auto"/>
        </w:rPr>
      </w:pPr>
    </w:p>
    <w:p>
      <w:pPr>
        <w:ind w:left="600" w:right="120" w:hanging="299"/>
        <w:spacing w:after="0" w:line="272"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heightened regulations and the actions of regulators and other government authorities, including anti-corruption laws and regulations, as well as sanctions and other governmental actions;</w:t>
      </w:r>
    </w:p>
    <w:p>
      <w:pPr>
        <w:spacing w:after="0" w:line="158"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general and administrative expenses;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insurance arrangements and our ability to obtain insurance and required certifications;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taxation of our partnership and distributions to our common unitholders;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General Partner to retain its officers and the ability of our Managers to retain key employees; and</w:t>
      </w:r>
    </w:p>
    <w:p>
      <w:pPr>
        <w:spacing w:after="0" w:line="15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funds for liquidity needs and the sufficiency of cash flows.</w:t>
      </w:r>
    </w:p>
    <w:p>
      <w:pPr>
        <w:spacing w:after="0" w:line="168" w:lineRule="exact"/>
        <w:rPr>
          <w:sz w:val="20"/>
          <w:szCs w:val="20"/>
          <w:color w:val="auto"/>
        </w:rPr>
      </w:pPr>
    </w:p>
    <w:p>
      <w:pPr>
        <w:jc w:val="both"/>
        <w:ind w:firstLine="523"/>
        <w:spacing w:after="0" w:line="234" w:lineRule="auto"/>
        <w:rPr>
          <w:sz w:val="20"/>
          <w:szCs w:val="20"/>
          <w:color w:val="auto"/>
        </w:rPr>
      </w:pPr>
      <w:r>
        <w:rPr>
          <w:rFonts w:ascii="Times New Roman" w:cs="Times New Roman" w:eastAsia="Times New Roman" w:hAnsi="Times New Roman"/>
          <w:sz w:val="17"/>
          <w:szCs w:val="17"/>
          <w:color w:val="auto"/>
        </w:rPr>
        <w:t>The preceding list is not intended to be an exhaustive list of all our forward-looking statements. These and other forward-looking statements are made based upon management’s current plans, expectations, estimates, assumptions and beliefs concerning future events impacting us and, therefore, involve a number of risks and uncertainties, including those risks discussed in “Item 3. Key Information—D. Risk Factors” below, which could cause actual results to be materially different from those contained in any forward-looking statement.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272"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025" w:gutter="0" w:footer="0" w:header="0"/>
        </w:sectPr>
      </w:pPr>
    </w:p>
    <w:bookmarkStart w:id="5" w:name="page6"/>
    <w:bookmarkEnd w:id="5"/>
    <w:p>
      <w:pPr>
        <w:jc w:val="both"/>
        <w:ind w:firstLine="523"/>
        <w:spacing w:after="0" w:line="251" w:lineRule="auto"/>
        <w:rPr>
          <w:sz w:val="20"/>
          <w:szCs w:val="20"/>
          <w:color w:val="auto"/>
        </w:rPr>
      </w:pPr>
      <w:r>
        <w:rPr>
          <w:rFonts w:ascii="Times New Roman" w:cs="Times New Roman" w:eastAsia="Times New Roman" w:hAnsi="Times New Roman"/>
          <w:sz w:val="16"/>
          <w:szCs w:val="16"/>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that attempt to advise interested parties of the risks and factors that may affect our business,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Advisors.</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18" w:lineRule="exact"/>
        <w:rPr>
          <w:sz w:val="20"/>
          <w:szCs w:val="20"/>
          <w:color w:val="auto"/>
        </w:rPr>
      </w:pPr>
    </w:p>
    <w:p>
      <w:pPr>
        <w:ind w:left="1060" w:hanging="534"/>
        <w:spacing w:after="0"/>
        <w:tabs>
          <w:tab w:leader="none" w:pos="10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05" w:lineRule="exact"/>
        <w:rPr>
          <w:rFonts w:ascii="Times New Roman" w:cs="Times New Roman" w:eastAsia="Times New Roman" w:hAnsi="Times New Roman"/>
          <w:sz w:val="17"/>
          <w:szCs w:val="17"/>
          <w:b w:val="1"/>
          <w:bCs w:val="1"/>
          <w:color w:val="auto"/>
        </w:rPr>
      </w:pPr>
    </w:p>
    <w:p>
      <w:pPr>
        <w:ind w:left="1060" w:hanging="534"/>
        <w:spacing w:after="0"/>
        <w:tabs>
          <w:tab w:leader="none" w:pos="10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Capitalization and Indebtedness.</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6" w:lineRule="exact"/>
        <w:rPr>
          <w:sz w:val="20"/>
          <w:szCs w:val="20"/>
          <w:color w:val="auto"/>
        </w:rPr>
      </w:pPr>
    </w:p>
    <w:p>
      <w:pPr>
        <w:ind w:left="1060" w:hanging="534"/>
        <w:spacing w:after="0"/>
        <w:tabs>
          <w:tab w:leader="none" w:pos="106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Reasons for the Offer and Use of Proceeds.</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89" w:lineRule="exact"/>
        <w:rPr>
          <w:sz w:val="20"/>
          <w:szCs w:val="20"/>
          <w:color w:val="auto"/>
        </w:rPr>
      </w:pPr>
    </w:p>
    <w:p>
      <w:pPr>
        <w:ind w:left="1060" w:hanging="534"/>
        <w:spacing w:after="0"/>
        <w:tabs>
          <w:tab w:leader="none" w:pos="10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w:t>
      </w:r>
    </w:p>
    <w:p>
      <w:pPr>
        <w:spacing w:after="0" w:line="168"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i w:val="1"/>
          <w:iCs w:val="1"/>
          <w:color w:val="auto"/>
        </w:rPr>
        <w:t>Some of the risks described below relate to the industries and the countries in which we operate as of the date of this Annual Report. Please read “Item 4. Information on the Partnership” for information on the current scope of our operations. While we currently own 22 vessels consisting of 11 neo-Panamax container vessels, three Panamax container vessels, one drybulk vessel and seven LNG carriers, as well as one neo-Panamax container vessel that we have agreed to acquire and that we expect will be delivered during the second quarter of 2023, we may in the future enter into additional markets. If that happens, we will be exposed to additional risks.</w:t>
      </w:r>
    </w:p>
    <w:p>
      <w:pPr>
        <w:spacing w:after="0" w:line="108" w:lineRule="exact"/>
        <w:rPr>
          <w:sz w:val="20"/>
          <w:szCs w:val="20"/>
          <w:color w:val="auto"/>
        </w:rPr>
      </w:pPr>
    </w:p>
    <w:p>
      <w:pPr>
        <w:jc w:val="both"/>
        <w:ind w:firstLine="523"/>
        <w:spacing w:after="0" w:line="246" w:lineRule="auto"/>
        <w:rPr>
          <w:sz w:val="20"/>
          <w:szCs w:val="20"/>
          <w:color w:val="auto"/>
        </w:rPr>
      </w:pPr>
      <w:r>
        <w:rPr>
          <w:rFonts w:ascii="Times New Roman" w:cs="Times New Roman" w:eastAsia="Times New Roman" w:hAnsi="Times New Roman"/>
          <w:sz w:val="17"/>
          <w:szCs w:val="17"/>
          <w:i w:val="1"/>
          <w:iCs w:val="1"/>
          <w:color w:val="auto"/>
        </w:rPr>
        <w:t>Furthermore, we are organized as a limited partnership under the laws of the Republic of the Marshall Islands. Although many of the risks relating to our business and operations are comparable to those a corporation engaged in a similar business would face, limited partner interests are inherently different from the capital stock of a corporation and involve additional risks.</w:t>
      </w:r>
    </w:p>
    <w:p>
      <w:pPr>
        <w:spacing w:after="0" w:line="100" w:lineRule="exact"/>
        <w:rPr>
          <w:sz w:val="20"/>
          <w:szCs w:val="20"/>
          <w:color w:val="auto"/>
        </w:rPr>
      </w:pPr>
    </w:p>
    <w:p>
      <w:pPr>
        <w:jc w:val="both"/>
        <w:ind w:firstLine="523"/>
        <w:spacing w:after="0" w:line="238" w:lineRule="auto"/>
        <w:rPr>
          <w:sz w:val="20"/>
          <w:szCs w:val="20"/>
          <w:color w:val="auto"/>
        </w:rPr>
      </w:pPr>
      <w:r>
        <w:rPr>
          <w:rFonts w:ascii="Times New Roman" w:cs="Times New Roman" w:eastAsia="Times New Roman" w:hAnsi="Times New Roman"/>
          <w:sz w:val="17"/>
          <w:szCs w:val="17"/>
          <w:i w:val="1"/>
          <w:iCs w:val="1"/>
          <w:color w:val="auto"/>
        </w:rPr>
        <w:t>If any of the following risks actually occurs, our business, financial condition, operating results and cash flow could be materially adversely affected. If that happens, we might not be able to pay distributions on our common units, the trading price of our common units could decline and you could lose all or part of your investment.</w:t>
      </w:r>
    </w:p>
    <w:p>
      <w:pPr>
        <w:spacing w:after="0" w:line="107" w:lineRule="exact"/>
        <w:rPr>
          <w:sz w:val="20"/>
          <w:szCs w:val="20"/>
          <w:color w:val="auto"/>
        </w:rPr>
      </w:pPr>
    </w:p>
    <w:p>
      <w:pPr>
        <w:jc w:val="both"/>
        <w:ind w:firstLine="523"/>
        <w:spacing w:after="0" w:line="261" w:lineRule="auto"/>
        <w:rPr>
          <w:sz w:val="20"/>
          <w:szCs w:val="20"/>
          <w:color w:val="auto"/>
        </w:rPr>
      </w:pPr>
      <w:r>
        <w:rPr>
          <w:rFonts w:ascii="Times New Roman" w:cs="Times New Roman" w:eastAsia="Times New Roman" w:hAnsi="Times New Roman"/>
          <w:sz w:val="17"/>
          <w:szCs w:val="17"/>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some of the principal risks we face. The list below is not exhaustive, and you should read this “Risk factors” section in full.</w:t>
      </w:r>
    </w:p>
    <w:p>
      <w:pPr>
        <w:spacing w:after="0" w:line="180" w:lineRule="exact"/>
        <w:rPr>
          <w:sz w:val="20"/>
          <w:szCs w:val="20"/>
          <w:color w:val="auto"/>
        </w:rPr>
      </w:pPr>
    </w:p>
    <w:p>
      <w:pPr>
        <w:ind w:left="600" w:hanging="2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ocean-going LNG, container and drybulk shipping industries are cyclical and volatile;</w:t>
      </w:r>
    </w:p>
    <w:p>
      <w:pPr>
        <w:spacing w:after="0" w:line="205" w:lineRule="exact"/>
        <w:rPr>
          <w:rFonts w:ascii="Times New Roman" w:cs="Times New Roman" w:eastAsia="Times New Roman" w:hAnsi="Times New Roman"/>
          <w:sz w:val="17"/>
          <w:szCs w:val="17"/>
          <w:color w:val="auto"/>
        </w:rPr>
      </w:pPr>
    </w:p>
    <w:p>
      <w:pPr>
        <w:ind w:left="600" w:right="4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oversupply of LNG carrier or containership capacity may depress current charter rates and adversely affect our ability to re-charter our vessels at profitable rates or at all;</w:t>
      </w:r>
    </w:p>
    <w:p>
      <w:pPr>
        <w:spacing w:after="0" w:line="158" w:lineRule="exact"/>
        <w:rPr>
          <w:rFonts w:ascii="Times New Roman" w:cs="Times New Roman" w:eastAsia="Times New Roman" w:hAnsi="Times New Roman"/>
          <w:sz w:val="17"/>
          <w:szCs w:val="17"/>
          <w:color w:val="auto"/>
        </w:rPr>
      </w:pPr>
    </w:p>
    <w:p>
      <w:pPr>
        <w:ind w:left="600" w:right="48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the level of export and import of goods or LNG production and exports, as a result of trade protectionism, economic sanctions, changes in commodity prices or other factors affecting global markets, could affect demand for shipping;</w:t>
      </w:r>
    </w:p>
    <w:p>
      <w:pPr>
        <w:spacing w:after="0" w:line="158"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values may decrease and over time may fluctuate substantially, which may cause us to recognize losses if we sell our vessels or record impairments;</w:t>
      </w:r>
    </w:p>
    <w:p>
      <w:pPr>
        <w:spacing w:after="0" w:line="20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grow or to effectively manage our growth;</w:t>
      </w:r>
    </w:p>
    <w:p>
      <w:pPr>
        <w:spacing w:after="0" w:line="205" w:lineRule="exact"/>
        <w:rPr>
          <w:rFonts w:ascii="Times New Roman" w:cs="Times New Roman" w:eastAsia="Times New Roman" w:hAnsi="Times New Roman"/>
          <w:sz w:val="17"/>
          <w:szCs w:val="17"/>
          <w:color w:val="auto"/>
        </w:rPr>
      </w:pPr>
    </w:p>
    <w:p>
      <w:pPr>
        <w:ind w:left="600" w:right="30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58" w:lineRule="exact"/>
        <w:rPr>
          <w:rFonts w:ascii="Times New Roman" w:cs="Times New Roman" w:eastAsia="Times New Roman" w:hAnsi="Times New Roman"/>
          <w:sz w:val="17"/>
          <w:szCs w:val="17"/>
          <w:color w:val="auto"/>
        </w:rPr>
      </w:pPr>
    </w:p>
    <w:p>
      <w:pPr>
        <w:ind w:left="600" w:right="28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derive a significant part of our revenues from a limited number of charterers and the loss of any charterer or charter or vessel could result in a significant loss of revenues and cash flows;</w:t>
      </w:r>
    </w:p>
    <w:p>
      <w:pPr>
        <w:spacing w:after="0" w:line="158" w:lineRule="exact"/>
        <w:rPr>
          <w:rFonts w:ascii="Times New Roman" w:cs="Times New Roman" w:eastAsia="Times New Roman" w:hAnsi="Times New Roman"/>
          <w:sz w:val="17"/>
          <w:szCs w:val="17"/>
          <w:color w:val="auto"/>
        </w:rPr>
      </w:pPr>
    </w:p>
    <w:p>
      <w:pPr>
        <w:ind w:left="600" w:right="26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fleet ages, the risks associated with older vessels could adversely affect our ability to obtain profitable charters, comply with debt covenants or raise financing;</w:t>
      </w:r>
    </w:p>
    <w:p>
      <w:pPr>
        <w:spacing w:after="0" w:line="158" w:lineRule="exact"/>
        <w:rPr>
          <w:rFonts w:ascii="Times New Roman" w:cs="Times New Roman" w:eastAsia="Times New Roman" w:hAnsi="Times New Roman"/>
          <w:sz w:val="17"/>
          <w:szCs w:val="17"/>
          <w:color w:val="auto"/>
        </w:rPr>
      </w:pPr>
    </w:p>
    <w:p>
      <w:pPr>
        <w:ind w:left="600" w:right="16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transportation is inherently risky, and an incident involving significant loss of, or environmental contamination by, any of our vessels could harm our reputation and business; and</w:t>
      </w:r>
    </w:p>
    <w:p>
      <w:pPr>
        <w:spacing w:after="0" w:line="158" w:lineRule="exact"/>
        <w:rPr>
          <w:rFonts w:ascii="Times New Roman" w:cs="Times New Roman" w:eastAsia="Times New Roman" w:hAnsi="Times New Roman"/>
          <w:sz w:val="17"/>
          <w:szCs w:val="17"/>
          <w:color w:val="auto"/>
        </w:rPr>
      </w:pPr>
    </w:p>
    <w:p>
      <w:pPr>
        <w:ind w:left="600" w:right="120" w:hanging="299"/>
        <w:spacing w:after="0" w:line="27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interest rates could increase our level of debt and the related interest expense, limit our ability to access debt and equity financing and increase the cost of capital required to acquire additional vessels or to implement our business strategy.</w:t>
      </w:r>
    </w:p>
    <w:p>
      <w:pPr>
        <w:spacing w:after="0" w:line="196"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012"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RISKS RELATED TO OUR INDUSTRY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exposed to various risks in the ocean-going LNG, container and drybulk shipping industries, which are cyclical and volatile.</w:t>
      </w:r>
    </w:p>
    <w:p>
      <w:pPr>
        <w:spacing w:after="0" w:line="184"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We operate in the ocean-going LNG, container and drybulk shipping industries and our performance and future growth depend on continued demand in these industries. Accordingly, we are exposed to various risks in these industries. Currently, we own seven LNG carriers, 14 container vessels and one drybulk vessel. As a result, we are most exposed to risks in the ocean-going LNG and container shipping industries.</w:t>
      </w:r>
    </w:p>
    <w:p>
      <w:pPr>
        <w:spacing w:after="0" w:line="122"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The LNG shipping industry is cyclical with attendant volatility in charter hire rates and profitability. Recently, the LNG charter market has recovered after experiencing a prolonged period of historically low rates. The degree of charter hire rate volatility among different types of LNG vessels has varied widely, and time charter and spot market rates for LNG vessels have in the past declined below operating costs of vessels.</w:t>
      </w:r>
    </w:p>
    <w:p>
      <w:pPr>
        <w:spacing w:after="0" w:line="108" w:lineRule="exact"/>
        <w:rPr>
          <w:sz w:val="20"/>
          <w:szCs w:val="20"/>
          <w:color w:val="auto"/>
        </w:rPr>
      </w:pPr>
    </w:p>
    <w:p>
      <w:pPr>
        <w:jc w:val="both"/>
        <w:ind w:firstLine="523"/>
        <w:spacing w:after="0" w:line="227" w:lineRule="auto"/>
        <w:rPr>
          <w:sz w:val="20"/>
          <w:szCs w:val="20"/>
          <w:color w:val="auto"/>
        </w:rPr>
      </w:pPr>
      <w:r>
        <w:rPr>
          <w:rFonts w:ascii="Times New Roman" w:cs="Times New Roman" w:eastAsia="Times New Roman" w:hAnsi="Times New Roman"/>
          <w:sz w:val="17"/>
          <w:szCs w:val="17"/>
          <w:color w:val="auto"/>
        </w:rPr>
        <w:t>The ocean-going container shipping industry is both cyclical and volatile in terms of charter rates and profitability and demand for our container vessels depends on a range of factors, including changes in the supply and demand for ship capacity and changes in the supply and demand for shipment of cargoes in containers. From the second half of 2020 onwards, as a result of the COVID-19 pandemic, changes in worldwide consumer behavior, reduced ports capacity due to social distancing and quarantine measures imposed in various counties worldwide and dislocation of container boxes and containerized trade resulted in a rapid increase in charter rates, which ultimately reached record levels in 2021 and the first half of 2022. Charter and freight rates in the container market in the first half of 2022 increased even further, reaching an all-time high in the first quarter of 2022. However, rates softened during the second half of 2022 and have declined, amid demand headwinds, increased supply of vessels, easing in congestion and weaker economic sentiment. During 2022, demand in global container trade decreased by 5.3% compared to the previous year in terms of Twenty-foot Equivalent Unit (“TEU”)/miles. The ongoing Russia-Ukraine conflict combined with inflationary pressures across most major economies may lead to a global economic slowdown, which might in turn adversely affect demand for container vessels and containerized goods and could negatively affect our results from operations. If the recent drop in freight rates continues, this could result in diminished profitability or losses, and could adversely impact certain of our charterers, which could negatively affect our results from operations. For example, in a number of instances in the past, charterers have not performed under, or have requested modifications of, existing time charters. See “—Risks Related to Our Business and Operations—Certain of our vessels may be under time charters at rates that are at a substantial premium to the spot and period markets, and our charterers’ failure to perform under these time charters could result in a significant loss of expected future revenues and cash flows.” and “—Risks Related to Our Business and Operations—If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10"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The drybulk shipping industry is cyclical with attendant volatility in charter rates, vessel values and profitability, with wide disparities across different classes of drybulk carriers. Our sole drybulk carrier, the M/V Cape Agamemnon is currently deployed in the spot market, which is highly volatile and which may affect our earnings and the value of that vessel. If we cannot enter into a period time charter for the M/V Cape Agamemnon on acceptable terms, we may have to continue to secure charters in the spot market, where charter rates are more volatile and revenues are, therefore, less predictable, or we may not be able to charter the vessel at all. See “—Risks Related to Our Business and Operations—The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11"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The factors affecting the supply of LNG, products shipped in containers and drybulk cargoes and the demand for LNG carriers, containerships and/or drybulk vessels are outside our control and the nature, timing, direction and degree of changes in industry conditions are difficult to predict.</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Some of the factors that influence demand for LNG carriers, containerships and/or drybulk vessels include:</w:t>
      </w:r>
    </w:p>
    <w:p>
      <w:pPr>
        <w:spacing w:after="0" w:line="143" w:lineRule="exact"/>
        <w:rPr>
          <w:sz w:val="20"/>
          <w:szCs w:val="20"/>
          <w:color w:val="auto"/>
        </w:rPr>
      </w:pPr>
    </w:p>
    <w:p>
      <w:pPr>
        <w:ind w:left="520" w:hanging="269"/>
        <w:spacing w:after="0"/>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LNG, which may be affected, among other things, by:</w:t>
      </w:r>
    </w:p>
    <w:p>
      <w:pPr>
        <w:spacing w:after="0" w:line="192" w:lineRule="exact"/>
        <w:rPr>
          <w:rFonts w:ascii="Times New Roman" w:cs="Times New Roman" w:eastAsia="Times New Roman" w:hAnsi="Times New Roman"/>
          <w:sz w:val="17"/>
          <w:szCs w:val="17"/>
          <w:color w:val="auto"/>
        </w:rPr>
      </w:pPr>
    </w:p>
    <w:p>
      <w:pPr>
        <w:ind w:left="780" w:hanging="266"/>
        <w:spacing w:after="0" w:line="272" w:lineRule="auto"/>
        <w:tabs>
          <w:tab w:leader="none" w:pos="7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and availability of crude oil, petroleum products and natural gas, including to the extent that natural gas prices are benchmarked to the price of crude oil, which could negatively affect the economies of potential new LNG production projects;</w:t>
      </w:r>
    </w:p>
    <w:p>
      <w:pPr>
        <w:spacing w:after="0" w:line="120" w:lineRule="exact"/>
        <w:rPr>
          <w:rFonts w:ascii="Times New Roman" w:cs="Times New Roman" w:eastAsia="Times New Roman" w:hAnsi="Times New Roman"/>
          <w:sz w:val="17"/>
          <w:szCs w:val="17"/>
          <w:color w:val="auto"/>
        </w:rPr>
      </w:pPr>
    </w:p>
    <w:p>
      <w:pPr>
        <w:ind w:left="780" w:hanging="266"/>
        <w:spacing w:after="0" w:line="272" w:lineRule="auto"/>
        <w:tabs>
          <w:tab w:leader="none" w:pos="7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natural gas derived from LNG relative to the cost of natural gas generally and the cost of alternative fuels, including renewables and coal, and the impact of increases in the cost of natural gas derived from LNG on consumption of LNG; and</w:t>
      </w:r>
    </w:p>
    <w:p>
      <w:pPr>
        <w:spacing w:after="0" w:line="133" w:lineRule="exact"/>
        <w:rPr>
          <w:rFonts w:ascii="Times New Roman" w:cs="Times New Roman" w:eastAsia="Times New Roman" w:hAnsi="Times New Roman"/>
          <w:sz w:val="17"/>
          <w:szCs w:val="17"/>
          <w:color w:val="auto"/>
        </w:rPr>
      </w:pPr>
    </w:p>
    <w:p>
      <w:pPr>
        <w:ind w:left="780" w:hanging="266"/>
        <w:spacing w:after="0" w:line="272" w:lineRule="auto"/>
        <w:tabs>
          <w:tab w:leader="none" w:pos="7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adverse effects on the oil and gas industry relating to climate change, including growing public concern about the environmental impact of climate change;</w:t>
      </w:r>
    </w:p>
    <w:p>
      <w:pPr>
        <w:spacing w:after="0" w:line="120" w:lineRule="exact"/>
        <w:rPr>
          <w:rFonts w:ascii="Times New Roman" w:cs="Times New Roman" w:eastAsia="Times New Roman" w:hAnsi="Times New Roman"/>
          <w:sz w:val="17"/>
          <w:szCs w:val="17"/>
          <w:color w:val="auto"/>
        </w:rPr>
      </w:pPr>
    </w:p>
    <w:p>
      <w:pPr>
        <w:jc w:val="both"/>
        <w:ind w:left="520" w:hanging="269"/>
        <w:spacing w:after="0" w:line="259"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exploration, development, production or transportation of LNG, including the availability and allocation of capital by developers to new LNG projects, events that may affect the availability of sufficient financing for LNG projects and the location of regional and global exploration, production and manufacturing facilities;</w:t>
      </w:r>
    </w:p>
    <w:p>
      <w:pPr>
        <w:spacing w:after="0" w:line="143" w:lineRule="exact"/>
        <w:rPr>
          <w:rFonts w:ascii="Times New Roman" w:cs="Times New Roman" w:eastAsia="Times New Roman" w:hAnsi="Times New Roman"/>
          <w:sz w:val="17"/>
          <w:szCs w:val="17"/>
          <w:color w:val="auto"/>
        </w:rPr>
      </w:pPr>
    </w:p>
    <w:p>
      <w:pPr>
        <w:ind w:left="520" w:hanging="269"/>
        <w:spacing w:after="0" w:line="272"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location of consuming regions for LNG and increases in the production of lower cost domestic natural gas in natural gas consuming markets, which could further depress prices for natural gas in those markets;</w:t>
      </w:r>
    </w:p>
    <w:p>
      <w:pPr>
        <w:spacing w:after="0" w:line="58"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 w:name="page9"/>
    <w:bookmarkEnd w:id="8"/>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production of products transported by containerships and/or drybulk vessels;</w:t>
      </w:r>
    </w:p>
    <w:p>
      <w:pPr>
        <w:spacing w:after="0" w:line="180" w:lineRule="exact"/>
        <w:rPr>
          <w:rFonts w:ascii="Times New Roman" w:cs="Times New Roman" w:eastAsia="Times New Roman" w:hAnsi="Times New Roman"/>
          <w:sz w:val="17"/>
          <w:szCs w:val="17"/>
          <w:color w:val="auto"/>
        </w:rPr>
      </w:pPr>
    </w:p>
    <w:p>
      <w:pPr>
        <w:ind w:left="269" w:hanging="269"/>
        <w:spacing w:after="0" w:line="272" w:lineRule="auto"/>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seaborne and other transportation patterns, including the distances over which LNGs, container and/or drybulk cargoes are transported and changes in such patterns and distances;</w:t>
      </w:r>
    </w:p>
    <w:p>
      <w:pPr>
        <w:spacing w:after="0" w:line="133"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globalization of production and manufacturing;</w:t>
      </w:r>
    </w:p>
    <w:p>
      <w:pPr>
        <w:spacing w:after="0" w:line="24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international trade and in the market for exports of containerized goods and raw materials;</w:t>
      </w:r>
    </w:p>
    <w:p>
      <w:pPr>
        <w:spacing w:after="0" w:line="180"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and regional economic and political conditions, including political and military conflicts;</w:t>
      </w:r>
    </w:p>
    <w:p>
      <w:pPr>
        <w:spacing w:after="0" w:line="19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international trade including threats and/or imposition of trade tariffs;</w:t>
      </w:r>
    </w:p>
    <w:p>
      <w:pPr>
        <w:spacing w:after="0" w:line="180"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explosion, spill or other incident involving an LNG facility or carrier;</w:t>
      </w:r>
    </w:p>
    <w:p>
      <w:pPr>
        <w:spacing w:after="0" w:line="19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growth in China, India and other emerging markets, including trends in the market for imports of raw materials to such markets;</w:t>
      </w:r>
    </w:p>
    <w:p>
      <w:pPr>
        <w:spacing w:after="0" w:line="19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with regard to the ability of nations worldwide to address pandemics, such as the COVID-19 pandemic, and their impact on economic activity;</w:t>
      </w:r>
    </w:p>
    <w:p>
      <w:pPr>
        <w:spacing w:after="0" w:line="19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including but not limited to new taxes, environmental protection laws and other regulatory developments;</w:t>
      </w:r>
    </w:p>
    <w:p>
      <w:pPr>
        <w:spacing w:after="0" w:line="180"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national or international energy policies that constrain the production or consumption of hydrocarbons including natural gas;</w:t>
      </w:r>
    </w:p>
    <w:p>
      <w:pPr>
        <w:spacing w:after="0" w:line="192"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rates;</w:t>
      </w:r>
    </w:p>
    <w:p>
      <w:pPr>
        <w:spacing w:after="0" w:line="180" w:lineRule="exact"/>
        <w:rPr>
          <w:rFonts w:ascii="Times New Roman" w:cs="Times New Roman" w:eastAsia="Times New Roman" w:hAnsi="Times New Roman"/>
          <w:sz w:val="17"/>
          <w:szCs w:val="17"/>
          <w:color w:val="auto"/>
        </w:rPr>
      </w:pPr>
    </w:p>
    <w:p>
      <w:pPr>
        <w:ind w:left="269" w:right="440" w:hanging="269"/>
        <w:spacing w:after="0" w:line="302" w:lineRule="auto"/>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weather patterns, including warmer winters in the northern hemisphere and lower gas demand in the traditional peak heating season and severe weather events resulting from climate change; and</w:t>
      </w:r>
    </w:p>
    <w:p>
      <w:pPr>
        <w:spacing w:after="0" w:line="121"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bunkers.</w:t>
      </w:r>
    </w:p>
    <w:p>
      <w:pPr>
        <w:spacing w:after="0" w:line="192" w:lineRule="exact"/>
        <w:rPr>
          <w:rFonts w:ascii="Times New Roman" w:cs="Times New Roman" w:eastAsia="Times New Roman" w:hAnsi="Times New Roman"/>
          <w:sz w:val="17"/>
          <w:szCs w:val="17"/>
          <w:color w:val="auto"/>
        </w:rPr>
      </w:pPr>
    </w:p>
    <w:p>
      <w:pPr>
        <w:ind w:left="2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the factors that influence the supply of LNG carriers, containerships and/or vessel capacity for drybulk carriers include the following:</w:t>
      </w:r>
    </w:p>
    <w:p>
      <w:pPr>
        <w:spacing w:after="0" w:line="192" w:lineRule="exact"/>
        <w:rPr>
          <w:rFonts w:ascii="Times New Roman" w:cs="Times New Roman" w:eastAsia="Times New Roman" w:hAnsi="Times New Roman"/>
          <w:sz w:val="17"/>
          <w:szCs w:val="17"/>
          <w:color w:val="auto"/>
        </w:rPr>
      </w:pPr>
    </w:p>
    <w:p>
      <w:pPr>
        <w:ind w:left="269" w:right="100" w:hanging="269"/>
        <w:spacing w:after="0" w:line="272" w:lineRule="auto"/>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newbuild orders and deliveries, which among other factors depend upon the ability of shipyards to meet contracted delivery dates and the ability of purchasers to finance such new acquisition;</w:t>
      </w:r>
    </w:p>
    <w:p>
      <w:pPr>
        <w:spacing w:after="0" w:line="108"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newbuild vessel deferrals;</w:t>
      </w:r>
    </w:p>
    <w:p>
      <w:pPr>
        <w:spacing w:after="0" w:line="217"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scrapping rate of LNG, containerships and/or drybulk vessels;</w:t>
      </w:r>
    </w:p>
    <w:p>
      <w:pPr>
        <w:spacing w:after="0" w:line="205"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newbuild prices and LNG, containership and/or drybulk vessel owner access to capital to finance the construction of newbuilds;</w:t>
      </w:r>
    </w:p>
    <w:p>
      <w:pPr>
        <w:spacing w:after="0" w:line="205"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charter rates and the price of steel and other raw materials;</w:t>
      </w:r>
    </w:p>
    <w:p>
      <w:pPr>
        <w:spacing w:after="0" w:line="217"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environmental and other regulations and standards that may limit the profitability, operations or useful life of vessels;</w:t>
      </w:r>
    </w:p>
    <w:p>
      <w:pPr>
        <w:spacing w:after="0" w:line="205"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LNG, containerships and/or drybulk vessels that are slow-steaming or extra slow-steaming to conserve fuel;</w:t>
      </w:r>
    </w:p>
    <w:p>
      <w:pPr>
        <w:spacing w:after="0" w:line="217" w:lineRule="exact"/>
        <w:rPr>
          <w:rFonts w:ascii="Times New Roman" w:cs="Times New Roman" w:eastAsia="Times New Roman" w:hAnsi="Times New Roman"/>
          <w:sz w:val="17"/>
          <w:szCs w:val="17"/>
          <w:color w:val="auto"/>
        </w:rPr>
      </w:pPr>
    </w:p>
    <w:p>
      <w:pPr>
        <w:ind w:left="269" w:right="280" w:hanging="269"/>
        <w:spacing w:after="0" w:line="272" w:lineRule="auto"/>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LNG, containerships and/or drybulk vessels that are off-charter and the number of vessels otherwise not in service (for example, as a result of vessel casualties);</w:t>
      </w:r>
    </w:p>
    <w:p>
      <w:pPr>
        <w:spacing w:after="0" w:line="108"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 and canal congestion and closures; and</w:t>
      </w:r>
    </w:p>
    <w:p>
      <w:pPr>
        <w:spacing w:after="0" w:line="217" w:lineRule="exact"/>
        <w:rPr>
          <w:rFonts w:ascii="Times New Roman" w:cs="Times New Roman" w:eastAsia="Times New Roman" w:hAnsi="Times New Roman"/>
          <w:sz w:val="17"/>
          <w:szCs w:val="17"/>
          <w:color w:val="auto"/>
        </w:rPr>
      </w:pPr>
    </w:p>
    <w:p>
      <w:pPr>
        <w:ind w:left="269" w:hanging="269"/>
        <w:spacing w:after="0"/>
        <w:tabs>
          <w:tab w:leader="none" w:pos="2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fleet renewal.</w:t>
      </w:r>
    </w:p>
    <w:p>
      <w:pPr>
        <w:spacing w:after="0" w:line="105" w:lineRule="exact"/>
        <w:rPr>
          <w:sz w:val="20"/>
          <w:szCs w:val="20"/>
          <w:color w:val="auto"/>
        </w:rPr>
      </w:pPr>
    </w:p>
    <w:p>
      <w:pPr>
        <w:ind w:left="5329"/>
        <w:spacing w:after="0"/>
        <w:tabs>
          <w:tab w:leader="none" w:pos="9749" w:val="left"/>
        </w:tabs>
        <w:rPr>
          <w:sz w:val="20"/>
          <w:szCs w:val="20"/>
          <w:color w:val="auto"/>
        </w:rPr>
      </w:pPr>
      <w:r>
        <w:rPr>
          <w:rFonts w:ascii="Times New Roman" w:cs="Times New Roman" w:eastAsia="Times New Roman" w:hAnsi="Times New Roman"/>
          <w:sz w:val="17"/>
          <w:szCs w:val="17"/>
          <w:color w:val="auto"/>
        </w:rPr>
        <w:t>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7142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0989"/>
          </w:cols>
          <w:pgMar w:left="571" w:top="549" w:right="339" w:bottom="1440" w:gutter="0" w:footer="0" w:header="0"/>
        </w:sectPr>
      </w:pPr>
    </w:p>
    <w:bookmarkStart w:id="9" w:name="page10"/>
    <w:bookmarkEnd w:id="9"/>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An oversupply of vessel capacity may prolong or depress current charter rates and adversely affect our ability to re-charter our vessels at profitable rates or at all.</w:t>
      </w:r>
    </w:p>
    <w:p>
      <w:pPr>
        <w:spacing w:after="0" w:line="66" w:lineRule="exact"/>
        <w:rPr>
          <w:sz w:val="20"/>
          <w:szCs w:val="20"/>
          <w:color w:val="auto"/>
        </w:rPr>
      </w:pPr>
    </w:p>
    <w:p>
      <w:pPr>
        <w:jc w:val="both"/>
        <w:ind w:firstLine="523"/>
        <w:spacing w:after="0" w:line="234" w:lineRule="auto"/>
        <w:rPr>
          <w:sz w:val="20"/>
          <w:szCs w:val="20"/>
          <w:color w:val="auto"/>
        </w:rPr>
      </w:pPr>
      <w:r>
        <w:rPr>
          <w:rFonts w:ascii="Times New Roman" w:cs="Times New Roman" w:eastAsia="Times New Roman" w:hAnsi="Times New Roman"/>
          <w:sz w:val="17"/>
          <w:szCs w:val="17"/>
          <w:color w:val="auto"/>
        </w:rPr>
        <w:t>Since 2014, the LNG market has been at times characterized by an oversupply of LNG tonnage, mainly caused by delays in new LNG capacity coming on stream. In addition, following a decline in ordering of newbuildings during 2016 and 2017, ordering increased in 2018 through 2022, driven by the strengthening of charter rates and increasing expectations for long-term LNG supply and demand. As a result, the LNG orderbook as of December 31, 2022 represented approximately 50% of the total on-the-water fleet capacity which is expected to be delivered between 2023 and 2028. A potential overhang of new vessels may cause LNG charter rates to be depressed.</w:t>
      </w:r>
    </w:p>
    <w:p>
      <w:pPr>
        <w:spacing w:after="0" w:line="174"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In the containership market, the container order book as of December 31, 2022 represented approximately 29.1% of the total on-the-water fleet capacity. Deliveries of vessels ordered will significantly increase the size of the on-the-water container fleet over the next two to three years, which might in turn create an overhang of container vessels and cause container charter rates to be depressed.</w:t>
      </w:r>
    </w:p>
    <w:p>
      <w:pPr>
        <w:spacing w:after="0" w:line="147"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The number of drybulk vessels on order as of December 31, 2022 was estimated by market sources to be approximately 7.6% of the then-existing global drybulk fleet in dead weight ton (“DWT”) terms, with deliveries expected mainly during the next 24 months, although available data with regard to cancellations of existing newbuild orders or delays in newbuild deliveries are not always accurate or may not be readily available.</w:t>
      </w:r>
    </w:p>
    <w:p>
      <w:pPr>
        <w:spacing w:after="0" w:line="160"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An oversupply of newbuild vessels or re-chartered or idle vessel capacity entering the market, combined with any decline in the demand for LNG, containerships or drybulk vessels, may depress charter rates and may decrease our ability to re-charter our vessels other than for reduced rates or unprofitable rates or to re-charter our vessels at all, which may materially and adversely affect our business, financial condition, results of operations, cash flows and ability to make cash distributions and service or refinance our debt.</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A decrease in the level of export and import of goods, in particular from and to Asia, as a result of trade protectionism, economic sanctions or other factors affecting global markets, could affect demand for shipping, resulting in a material adverse impact on our charterers’ business and, in turn, a material adverse impact on our business, financial condition, results of operations, cash flows and ability to make cash distributions and service or refinance our debt.</w:t>
      </w:r>
    </w:p>
    <w:p>
      <w:pPr>
        <w:spacing w:after="0" w:line="107"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147" w:lineRule="exact"/>
        <w:rPr>
          <w:sz w:val="20"/>
          <w:szCs w:val="20"/>
          <w:color w:val="auto"/>
        </w:rPr>
      </w:pPr>
    </w:p>
    <w:p>
      <w:pPr>
        <w:jc w:val="both"/>
        <w:ind w:firstLine="523"/>
        <w:spacing w:after="0" w:line="234" w:lineRule="auto"/>
        <w:rPr>
          <w:sz w:val="20"/>
          <w:szCs w:val="20"/>
          <w:color w:val="auto"/>
        </w:rPr>
      </w:pPr>
      <w:r>
        <w:rPr>
          <w:rFonts w:ascii="Times New Roman" w:cs="Times New Roman" w:eastAsia="Times New Roman" w:hAnsi="Times New Roman"/>
          <w:sz w:val="17"/>
          <w:szCs w:val="17"/>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 In the United States, there is significant uncertainty about the future relationship between the United States and other exporting countries, including with respect to trade policies, treaties, government regulations and tariffs. Any future trade barriers or restrictions on trade in the United States may trigger retaliatory actions by others, potentially resulting in a “trade war.”</w:t>
      </w:r>
    </w:p>
    <w:p>
      <w:pPr>
        <w:spacing w:after="0" w:line="149" w:lineRule="exact"/>
        <w:rPr>
          <w:sz w:val="20"/>
          <w:szCs w:val="20"/>
          <w:color w:val="auto"/>
        </w:rPr>
      </w:pPr>
    </w:p>
    <w:p>
      <w:pPr>
        <w:jc w:val="both"/>
        <w:ind w:firstLine="523"/>
        <w:spacing w:after="0" w:line="234" w:lineRule="auto"/>
        <w:rPr>
          <w:sz w:val="20"/>
          <w:szCs w:val="20"/>
          <w:color w:val="auto"/>
        </w:rPr>
      </w:pPr>
      <w:r>
        <w:rPr>
          <w:rFonts w:ascii="Times New Roman" w:cs="Times New Roman" w:eastAsia="Times New Roman" w:hAnsi="Times New Roman"/>
          <w:sz w:val="17"/>
          <w:szCs w:val="17"/>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 which could have a material adverse effect on our business, financial condition, operating results and ability to make cash distributions and to service or refinance our debt.</w:t>
      </w:r>
    </w:p>
    <w:p>
      <w:pPr>
        <w:spacing w:after="0" w:line="147"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72" w:lineRule="exact"/>
        <w:rPr>
          <w:sz w:val="20"/>
          <w:szCs w:val="20"/>
          <w:color w:val="auto"/>
        </w:rPr>
      </w:pPr>
    </w:p>
    <w:p>
      <w:pPr>
        <w:jc w:val="both"/>
        <w:ind w:firstLine="523"/>
        <w:spacing w:after="0" w:line="257" w:lineRule="auto"/>
        <w:rPr>
          <w:sz w:val="20"/>
          <w:szCs w:val="20"/>
          <w:color w:val="auto"/>
        </w:rPr>
      </w:pPr>
      <w:r>
        <w:rPr>
          <w:rFonts w:ascii="Times New Roman" w:cs="Times New Roman" w:eastAsia="Times New Roman" w:hAnsi="Times New Roman"/>
          <w:sz w:val="16"/>
          <w:szCs w:val="16"/>
          <w:color w:val="auto"/>
        </w:rPr>
        <w:t>Our business could be harmed by trade tariffs, as well as any trade embargoes or other economic sanctions by the United States or other countries against Russia and countries in the Middle East, Asia or elsewhere as a result of terrorist attacks, hostilities or diplomatic or political pressures that limit trading activities with those countries. In particular, the ongoing conflict between Russia and Ukraine, and attendant sanctions imposed by the United States, the European Union (“EU”) and other countries may also adversely impact our business, especially given Russia’s role as a major global exporter of crude oil and natural gas and the imposition of a price cap on Russian-origin oil announced by the U.S., EU and several other countries in December 2022. So far the reduced flow of Russian natural gas into Europe and the associated trade distortions has increased demand for LNG shipping, but a long term change in trade patterns of LNG, as a result of the conflict, might adversely affect the demand for LNG shipping and as a consequence might impair our capacity to re-charter the vessels after the expiration of their current charters.</w:t>
      </w:r>
    </w:p>
    <w:p>
      <w:pPr>
        <w:spacing w:after="0" w:line="136" w:lineRule="exact"/>
        <w:rPr>
          <w:sz w:val="20"/>
          <w:szCs w:val="20"/>
          <w:color w:val="auto"/>
        </w:rPr>
      </w:pPr>
    </w:p>
    <w:p>
      <w:pPr>
        <w:jc w:val="both"/>
        <w:ind w:firstLine="601"/>
        <w:spacing w:after="0" w:line="239" w:lineRule="auto"/>
        <w:rPr>
          <w:sz w:val="20"/>
          <w:szCs w:val="20"/>
          <w:color w:val="auto"/>
        </w:rPr>
      </w:pPr>
      <w:r>
        <w:rPr>
          <w:rFonts w:ascii="Times New Roman" w:cs="Times New Roman" w:eastAsia="Times New Roman" w:hAnsi="Times New Roman"/>
          <w:sz w:val="17"/>
          <w:szCs w:val="17"/>
          <w:color w:val="auto"/>
        </w:rPr>
        <w:t>Any new or increased trade barriers, trade embargoes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Worldwide inflationary pressures could negatively impact our results of operations and cash flows.</w:t>
      </w:r>
    </w:p>
    <w:p>
      <w:pPr>
        <w:spacing w:after="0" w:line="172" w:lineRule="exact"/>
        <w:rPr>
          <w:sz w:val="20"/>
          <w:szCs w:val="20"/>
          <w:color w:val="auto"/>
        </w:rPr>
      </w:pPr>
    </w:p>
    <w:p>
      <w:pPr>
        <w:jc w:val="both"/>
        <w:ind w:firstLine="523"/>
        <w:spacing w:after="0" w:line="229" w:lineRule="auto"/>
        <w:rPr>
          <w:sz w:val="20"/>
          <w:szCs w:val="20"/>
          <w:color w:val="auto"/>
        </w:rPr>
      </w:pPr>
      <w:r>
        <w:rPr>
          <w:rFonts w:ascii="Times New Roman" w:cs="Times New Roman" w:eastAsia="Times New Roman" w:hAnsi="Times New Roman"/>
          <w:sz w:val="17"/>
          <w:szCs w:val="17"/>
          <w:color w:val="auto"/>
        </w:rPr>
        <w:t>Worldwide economies have recently experienced inflationary pressures, with price increases seen across many sectors globally. For example, the U.S. consumer price index, an inflation gauge that measures costs across dozens of items, rose 6.5% in December 2022 compared to the prior year, driven in large part by increases in energy costs. It remains to be seen whether inflationary pressures will continue, and to what degree, as central banks respond to price increases. As a result of the heightened inflation experienced in 2022, we have incurred increased operating, voyage and administrative costs including higher costs for dry-docking. If inflationary pressures persist, we may experience further increases in our voyage, administrative and operating expenses, which we may not able to pass on to our charterers. Furthermore, the effects of inflation on the supply and demand of the products we transport could alter demand for our services. Interventions in the economy by central banks in response to inflationary pressures may slow down economic activity, including by altering consumer purchasing habits and reducing demand for the commodities and products we carry, and cause a reduction in trade. As a result, the volumes of LNG and/or goods we deliver and/or charter rates for our vessels may be affected. Any of these factors could adversely affect our business, financial condition, results of operations, liquidity, cash flows and ability to pay cash distributions and service or refinance our debt.</w:t>
      </w:r>
    </w:p>
    <w:p>
      <w:pPr>
        <w:spacing w:after="0" w:line="89"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17"/>
          <w:szCs w:val="17"/>
          <w:b w:val="1"/>
          <w:bCs w:val="1"/>
          <w:color w:val="auto"/>
        </w:rPr>
        <w:t>LNG, container and drybulk vessel values have historically been volatile. Vessel values may decrease and over time may fluctuate substantially, which may cause us to recognize losses if we sell our LNG carriers, container vessels or the M/V Cape Agamemnon, or record impairments and affect our ability to comply with our loan covenants or refinance our debt.</w:t>
      </w:r>
    </w:p>
    <w:p>
      <w:pPr>
        <w:spacing w:after="0" w:line="117"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market values of LNG, drybulk and container vessels have generally experienced high volatility. LNG, container and drybulk vessel values can fluctuate substantially over time due to a number of different factors, including:</w:t>
      </w:r>
    </w:p>
    <w:p>
      <w:pPr>
        <w:spacing w:after="0" w:line="83" w:lineRule="exact"/>
        <w:rPr>
          <w:sz w:val="20"/>
          <w:szCs w:val="20"/>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economic and market conditions affecting the shipping industry (including the level of worldwide LNG production and exports);</w:t>
      </w:r>
    </w:p>
    <w:p>
      <w:pPr>
        <w:spacing w:after="0" w:line="230"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demand for vessels, including as a result of a substantial or extended decline in world trade;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of vessels and capacity;</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types, sizes and ages of vessels;</w:t>
      </w:r>
    </w:p>
    <w:p>
      <w:pPr>
        <w:spacing w:after="0" w:line="205" w:lineRule="exact"/>
        <w:rPr>
          <w:rFonts w:ascii="Times New Roman" w:cs="Times New Roman" w:eastAsia="Times New Roman" w:hAnsi="Times New Roman"/>
          <w:sz w:val="17"/>
          <w:szCs w:val="17"/>
          <w:color w:val="auto"/>
        </w:rPr>
      </w:pPr>
    </w:p>
    <w:p>
      <w:pPr>
        <w:ind w:left="1040" w:right="480" w:hanging="263"/>
        <w:spacing w:after="0" w:line="272"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charter rates, the need to upgrade vessels as a result of charterer requirements and the cost of retrofitting or modifying existing ships to respond to technological advances in vessel design or equipment;</w:t>
      </w:r>
    </w:p>
    <w:p>
      <w:pPr>
        <w:spacing w:after="0" w:line="108" w:lineRule="exact"/>
        <w:rPr>
          <w:rFonts w:ascii="Times New Roman" w:cs="Times New Roman" w:eastAsia="Times New Roman" w:hAnsi="Times New Roman"/>
          <w:sz w:val="17"/>
          <w:szCs w:val="17"/>
          <w:color w:val="auto"/>
        </w:rPr>
      </w:pPr>
    </w:p>
    <w:p>
      <w:pPr>
        <w:ind w:left="1040" w:right="28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environmental or other regulations or standards, including regulations or standards which relate to the reduction of greenhouse emissions;</w:t>
      </w:r>
    </w:p>
    <w:p>
      <w:pPr>
        <w:spacing w:after="0" w:line="120"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newbuild prices for similar vessels;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demolition prices for similar vessels;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capital for investment in vessels, including ship finance and public equity;</w:t>
      </w:r>
    </w:p>
    <w:p>
      <w:pPr>
        <w:spacing w:after="0" w:line="205" w:lineRule="exact"/>
        <w:rPr>
          <w:rFonts w:ascii="Times New Roman" w:cs="Times New Roman" w:eastAsia="Times New Roman" w:hAnsi="Times New Roman"/>
          <w:sz w:val="17"/>
          <w:szCs w:val="17"/>
          <w:color w:val="auto"/>
        </w:rPr>
      </w:pPr>
    </w:p>
    <w:p>
      <w:pPr>
        <w:ind w:left="1040" w:hanging="263"/>
        <w:spacing w:after="0" w:line="272"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of containerships in the market for sale, including mass disposals of containerships controlled by financing institutions, “fire sales” of vessels by some of our competitors or other fleet-owners that may be in distress, or commercial banks foreclosing on collateral from time to time; and</w:t>
      </w:r>
    </w:p>
    <w:p>
      <w:pPr>
        <w:spacing w:after="0" w:line="120"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other shipping companies and the availability of other modes of transportation.</w:t>
      </w:r>
    </w:p>
    <w:p>
      <w:pPr>
        <w:spacing w:after="0" w:line="356" w:lineRule="exact"/>
        <w:rPr>
          <w:sz w:val="20"/>
          <w:szCs w:val="20"/>
          <w:color w:val="auto"/>
        </w:rPr>
      </w:pPr>
    </w:p>
    <w:p>
      <w:pPr>
        <w:jc w:val="both"/>
        <w:ind w:firstLine="523"/>
        <w:spacing w:after="0" w:line="247" w:lineRule="auto"/>
        <w:rPr>
          <w:sz w:val="20"/>
          <w:szCs w:val="20"/>
          <w:color w:val="auto"/>
        </w:rPr>
      </w:pPr>
      <w:r>
        <w:rPr>
          <w:rFonts w:ascii="Times New Roman" w:cs="Times New Roman" w:eastAsia="Times New Roman" w:hAnsi="Times New Roman"/>
          <w:sz w:val="16"/>
          <w:szCs w:val="16"/>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at a reasonable price could result in a loss. A decline in the market value of our vessels could also lead to a default under our financing arrangements and limit our ability to obtain additional financing and service or refinance our debt. If any of these circumstances were to happen, our business, financial condition, results of operations, cash flows and ability to make distributions may be materially and adversely affected.</w:t>
      </w:r>
    </w:p>
    <w:p>
      <w:pPr>
        <w:spacing w:after="0" w:line="11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color w:val="auto"/>
        </w:rPr>
        <w:t>Our growth and our ability to re-charter our LNG vessels and containerships depend on, among other things, our ability to expand relationships with existing charterers and develop relationships with new charterers, for which we will face substantial competition.</w:t>
      </w:r>
    </w:p>
    <w:p>
      <w:pPr>
        <w:spacing w:after="0" w:line="91" w:lineRule="exact"/>
        <w:rPr>
          <w:sz w:val="20"/>
          <w:szCs w:val="20"/>
          <w:color w:val="auto"/>
        </w:rPr>
      </w:pPr>
    </w:p>
    <w:p>
      <w:pPr>
        <w:ind w:right="440" w:firstLine="523"/>
        <w:spacing w:after="0" w:line="272" w:lineRule="auto"/>
        <w:rPr>
          <w:sz w:val="20"/>
          <w:szCs w:val="20"/>
          <w:color w:val="auto"/>
        </w:rPr>
      </w:pPr>
      <w:r>
        <w:rPr>
          <w:rFonts w:ascii="Times New Roman" w:cs="Times New Roman" w:eastAsia="Times New Roman" w:hAnsi="Times New Roman"/>
          <w:sz w:val="17"/>
          <w:szCs w:val="17"/>
          <w:color w:val="auto"/>
        </w:rPr>
        <w:t>The process of obtaining new long-term time charters on containerships and LNG vessels is highly competitive, generally involves an intensive screening process and competitive bids, and often extends for several months.</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LNG and containership charters are awarded based upon a variety of factors related to the vessel owner, including, among other things:</w:t>
      </w:r>
    </w:p>
    <w:p>
      <w:pPr>
        <w:spacing w:after="0" w:line="193" w:lineRule="exact"/>
        <w:rPr>
          <w:sz w:val="20"/>
          <w:szCs w:val="20"/>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shipping industry relationships and reputation for charterer service and safety;</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LNG and container shipping experience and quality of vessel operations, including cost effectiveness;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experience of seafaring crew;</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finance LNGs and containerships at competitive rates and the vessel owner’s financial stability generally;</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relationships with shipyards and the ability to get suitable berths;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management experience, including the ability to obtain on-time delivery of new vessels according to charterers’ specifications;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willingness to accept operational risks under the charter, such as allowing termination of the charter for force majeure events; and</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competitiveness of the bid in terms of overall price.</w:t>
      </w:r>
    </w:p>
    <w:p>
      <w:pPr>
        <w:spacing w:after="0" w:line="105" w:lineRule="exact"/>
        <w:rPr>
          <w:sz w:val="20"/>
          <w:szCs w:val="20"/>
          <w:color w:val="auto"/>
        </w:rPr>
      </w:pPr>
    </w:p>
    <w:p>
      <w:pPr>
        <w:ind w:left="5580"/>
        <w:spacing w:after="0"/>
        <w:tabs>
          <w:tab w:leader="none" w:pos="1000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 w:name="page12"/>
    <w:bookmarkEnd w:id="11"/>
    <w:p>
      <w:pPr>
        <w:jc w:val="both"/>
        <w:ind w:firstLine="523"/>
        <w:spacing w:after="0" w:line="229" w:lineRule="auto"/>
        <w:rPr>
          <w:sz w:val="20"/>
          <w:szCs w:val="20"/>
          <w:color w:val="auto"/>
        </w:rPr>
      </w:pPr>
      <w:r>
        <w:rPr>
          <w:rFonts w:ascii="Times New Roman" w:cs="Times New Roman" w:eastAsia="Times New Roman" w:hAnsi="Times New Roman"/>
          <w:sz w:val="17"/>
          <w:szCs w:val="17"/>
          <w:color w:val="auto"/>
        </w:rPr>
        <w:t>Competition for providing containerships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LNG and containership sector, including many with strong reputations and extensive resources and experience in the marine transportation industry. Furthermore, both markets are highly fragmented. Due in part to the highly fragmented market, competitors with greater resources could enter the LNG and container shipping industry and operate larger fleets through consolidations or acquisitions and may be able to offer lower charter rates than we are able to offer. Although we believe that no single competitor has a dominant position in the markets in which we compete, we are aware that certain competitors may be able to devote greater financial and other resources to their activities than we can, resulting in a significant competitive threat to us. This increased competition in both the LNG and containership shipping markets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If a more active short-term or spot market develops, we may have more difficulty entering into medium- to long-term, fixed-rate time charters and our existing charterers may begin to pressure us to reduce our charter rates.</w:t>
      </w:r>
    </w:p>
    <w:p>
      <w:pPr>
        <w:spacing w:after="0" w:line="66"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One of our principal strategies is to enter into medium- to long-term, fixed-rate time charters. As of March 31, 2023, five of our container vessels are chartered for less than two years and our sole drybulk vessel, the M/V Cape Agamemnon, is deployed in the spot market. Our LNG carriers are under long-term time charters expiring at the earliest in 2025 (three carriers), 2028 (one carrier), 2029 (one carrier), and 2031 (two carriers). On redelivery from their present charters, our vessels may operate in the short-term or spot market unless we are unable to secure long-term charters. As more vessels become available for the short-term or spot market, we may have difficulty entering into additional medium- to long-term, fixed-rate time charters for our vessels due to the increased supply of vessels and possibly lower rates in the spot market. See “—Risks Related to Our Business and Operations—An oversupply of vessel capacity may prolong or depress current charter rates and adversely affect our ability to re-charter our vessels at profitable rates or at all.”</w:t>
      </w:r>
    </w:p>
    <w:p>
      <w:pPr>
        <w:spacing w:after="0" w:line="111"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 In addition, advances in LNG carrier technology may negatively impact our ability to re-charter our LNG carriers on attractive rates and may result in lower levels of utilization.</w:t>
      </w:r>
    </w:p>
    <w:p>
      <w:pPr>
        <w:spacing w:after="0" w:line="124" w:lineRule="exact"/>
        <w:rPr>
          <w:sz w:val="20"/>
          <w:szCs w:val="20"/>
          <w:color w:val="auto"/>
        </w:rPr>
      </w:pPr>
    </w:p>
    <w:p>
      <w:pPr>
        <w:jc w:val="both"/>
        <w:ind w:firstLine="523"/>
        <w:spacing w:after="0" w:line="245" w:lineRule="auto"/>
        <w:rPr>
          <w:sz w:val="20"/>
          <w:szCs w:val="20"/>
          <w:color w:val="auto"/>
        </w:rPr>
      </w:pPr>
      <w:r>
        <w:rPr>
          <w:rFonts w:ascii="Times New Roman" w:cs="Times New Roman" w:eastAsia="Times New Roman" w:hAnsi="Times New Roman"/>
          <w:sz w:val="17"/>
          <w:szCs w:val="17"/>
          <w:color w:val="auto"/>
        </w:rPr>
        <w:t>Operating vessels in the spot market or being unable to re-charter vessels on long-term charters with similar or better rates may mean that our revenues and cash flows from these vessels will decline following the expiration of our current charter arrangements. These factors could have a material adverse effect on our business results or operations, cash flows and our ability to make cash distributions and service or refinance our debt. In particular, a sustained decline in our charter rates and employment opportunities could adversely affect the market value of our vessels, on which certain ratios and financial covenants with which we are required to comply are based. A significant decline in the market value of our vessels could impact our compliance with covenants in our financing arrangements and, if the values are lower at a time when we are attempting to dispose of vessels, could cause us to incur a loss. See “—LNG, container and drybulk vessel values have historically been volatile. Vessel values may decrease and over time may fluctuate substantially, which may cause us to recognize losses if we sell our LNG carriers, container vessels or the M/V Cape Agamemnon, or record impairments and affect our ability to comply with our loan covenants or refinance our debt.”</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A negative change in the economic conditions in Asia, especially in China, Japan or India, could reduce drybulk trade and demand, which would affect charter rates and have a material adverse effect on the profitability of our drybulk vessel.</w:t>
      </w:r>
    </w:p>
    <w:p>
      <w:pPr>
        <w:spacing w:after="0" w:line="91" w:lineRule="exact"/>
        <w:rPr>
          <w:sz w:val="20"/>
          <w:szCs w:val="20"/>
          <w:color w:val="auto"/>
        </w:rPr>
      </w:pPr>
    </w:p>
    <w:p>
      <w:pPr>
        <w:jc w:val="both"/>
        <w:ind w:firstLine="523"/>
        <w:spacing w:after="0" w:line="255" w:lineRule="auto"/>
        <w:rPr>
          <w:sz w:val="20"/>
          <w:szCs w:val="20"/>
          <w:color w:val="auto"/>
        </w:rPr>
      </w:pPr>
      <w:r>
        <w:rPr>
          <w:rFonts w:ascii="Times New Roman" w:cs="Times New Roman" w:eastAsia="Times New Roman" w:hAnsi="Times New Roman"/>
          <w:sz w:val="17"/>
          <w:szCs w:val="17"/>
          <w:color w:val="auto"/>
        </w:rPr>
        <w:t>A significant number of the port calls made by Capesize bulk carriers involve the loading or discharging of raw materials in ports in Asia, particularly China, Japan and India. We currently anticipate that the future demand for the M/V Cape Agamemnon will be dependent, among other things, upon the rate of economic growth in the global economy and particularly in Asia, including the world’s developing economies, such as China, India, Brazil and Russia. The ongoing hostilities between Russia and Ukraine, in addition to sanctions imposed on Russia and Belarus and certain entities and individuals in these countries may also adversely impact our business due to their impact on the global economy and particularly Asia. See “—Regulatory Risks— Our vessels may be chartered or sub-chartered to parties, or call on ports, located in countries that are subject to restrictions and sanctions imposed by the United States, the European Union and other jurisdictions.” If economic growth declines in China, Japan, India and other countries in Asia, drybulk trade and demand and, as a result, charter rates for drybulk vessels, may decrease and adversely affect our ability to re-charter the M/V Cape Agamemnon at a profitable rate or at all, which could materially adversely affect our business, financial condition, results of operations, cash flows and ability to make cash distributions and service or repay our debt.</w:t>
      </w:r>
    </w:p>
    <w:p>
      <w:pPr>
        <w:spacing w:after="0" w:line="10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b w:val="1"/>
          <w:b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42" w:lineRule="exact"/>
        <w:rPr>
          <w:sz w:val="20"/>
          <w:szCs w:val="20"/>
          <w:color w:val="auto"/>
        </w:rPr>
      </w:pPr>
    </w:p>
    <w:p>
      <w:pPr>
        <w:jc w:val="both"/>
        <w:ind w:firstLine="523"/>
        <w:spacing w:after="0" w:line="228" w:lineRule="auto"/>
        <w:rPr>
          <w:sz w:val="20"/>
          <w:szCs w:val="20"/>
          <w:color w:val="auto"/>
        </w:rPr>
      </w:pPr>
      <w:r>
        <w:rPr>
          <w:rFonts w:ascii="Times New Roman" w:cs="Times New Roman" w:eastAsia="Times New Roman" w:hAnsi="Times New Roman"/>
          <w:sz w:val="17"/>
          <w:szCs w:val="17"/>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17"/>
          <w:szCs w:val="17"/>
          <w:b w:val="1"/>
          <w:bCs w:val="1"/>
          <w:color w:val="auto"/>
        </w:rPr>
        <w:t>The operation of drybulk vessels involves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117" w:lineRule="exact"/>
        <w:rPr>
          <w:sz w:val="20"/>
          <w:szCs w:val="20"/>
          <w:color w:val="auto"/>
        </w:rPr>
      </w:pPr>
    </w:p>
    <w:p>
      <w:pPr>
        <w:jc w:val="both"/>
        <w:ind w:firstLine="523"/>
        <w:spacing w:after="0"/>
        <w:rPr>
          <w:sz w:val="20"/>
          <w:szCs w:val="20"/>
          <w:color w:val="auto"/>
        </w:rPr>
      </w:pPr>
      <w:r>
        <w:rPr>
          <w:rFonts w:ascii="Times New Roman" w:cs="Times New Roman" w:eastAsia="Times New Roman" w:hAnsi="Times New Roman"/>
          <w:sz w:val="17"/>
          <w:szCs w:val="17"/>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Capital-Executive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200" w:lineRule="exact"/>
        <w:rPr>
          <w:sz w:val="20"/>
          <w:szCs w:val="20"/>
          <w:color w:val="auto"/>
        </w:rPr>
      </w:pPr>
    </w:p>
    <w:p>
      <w:pPr>
        <w:spacing w:after="0" w:line="27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We may not be able to grow, or to effectively manage our growth, which could negatively affect our competitiveness and financial condition.</w:t>
      </w:r>
    </w:p>
    <w:p>
      <w:pPr>
        <w:spacing w:after="0" w:line="197"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Our success depends on our ability to grow our business. The growth of our business depends upon a variety of factors, some of which we cannot control. These factors include, among other things, our ability to:</w:t>
      </w:r>
    </w:p>
    <w:p>
      <w:pPr>
        <w:spacing w:after="0" w:line="95" w:lineRule="exact"/>
        <w:rPr>
          <w:sz w:val="20"/>
          <w:szCs w:val="20"/>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 on opportunities in the markets in which we operate by fixing time charters for our vessels at attractive rates;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required financing and access to capital markets for new and existing operations;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additional new markets;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vessels and/or shipping companies for acquisitions;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accretive transactions;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any acquired businesses or vessels successfully with existing operations;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qualified personnel to manage, maintain and operate our business and fleet;</w:t>
      </w:r>
    </w:p>
    <w:p>
      <w:pPr>
        <w:spacing w:after="0" w:line="217" w:lineRule="exact"/>
        <w:rPr>
          <w:rFonts w:ascii="Times New Roman" w:cs="Times New Roman" w:eastAsia="Times New Roman" w:hAnsi="Times New Roman"/>
          <w:sz w:val="17"/>
          <w:szCs w:val="17"/>
          <w:color w:val="auto"/>
        </w:rPr>
      </w:pPr>
    </w:p>
    <w:p>
      <w:pPr>
        <w:ind w:left="1040" w:right="440" w:hanging="263"/>
        <w:spacing w:after="0" w:line="272" w:lineRule="auto"/>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existing and new regulations, such as those imposed by the International Maritime Organization (“IMO”) 2020 and the Ballast Water Management Convention; and</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our commercial and technical management agreements with our Managers or other competent managers.</w:t>
      </w:r>
    </w:p>
    <w:p>
      <w:pPr>
        <w:spacing w:after="0" w:line="205"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7"/>
          <w:szCs w:val="17"/>
          <w:color w:val="auto"/>
        </w:rPr>
        <w:t>We may not be able to acquire newly built or secondhand vessels on favorable terms, which could impede our growth and negatively impact our financial condition and ability to pay cash distributions.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89"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Failure to effectively identify, purchase, develop, employ and integrate any vessels or businesses could negatively affect our competitiveness, business, financial condition, results of operations, cash flows and our ability to make cash distributions and service or refinance our debt.</w:t>
      </w:r>
    </w:p>
    <w:p>
      <w:pPr>
        <w:spacing w:after="0" w:line="1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66"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Our LNG and container vessels that are chartered to BP Gas Marketing Limited (“BP”), Cheniere Marketing International LLP (“Cheniere”), Engie Energy Marketing Singapore Pte Ltd (“Engie”), Hyundai Merchant Marine Co Ltd. (“HMM”), Hartree Partners Power &amp; Gas Company (UK) Limited (“Hartree"), CMA CGM S.A. (“CMA CGM”) and Hapag-Lloyd Aktiengesellschaft (“Hapag-Lloyd”) are each currently employed under medium-to-long-term time charters.</w:t>
      </w:r>
    </w:p>
    <w:p>
      <w:pPr>
        <w:spacing w:after="0" w:line="120"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Given that the rates we charge to these charterers may at times be significantly higher than the underlying charter market, failure to perform by any of them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160" w:lineRule="exact"/>
        <w:rPr>
          <w:sz w:val="20"/>
          <w:szCs w:val="20"/>
          <w:color w:val="auto"/>
        </w:rPr>
      </w:pPr>
    </w:p>
    <w:p>
      <w:pPr>
        <w:ind w:left="1040" w:hanging="263"/>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is unable or unwilling to perform its obligations under the charters, including the payment of the agreed rates in a timely manner;</w:t>
      </w:r>
    </w:p>
    <w:p>
      <w:pPr>
        <w:spacing w:after="0" w:line="230"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faces, or continues to face, financial difficulties forcing it to declare bankruptcy, restructure its operations or default under the charters;</w:t>
      </w:r>
    </w:p>
    <w:p>
      <w:pPr>
        <w:spacing w:after="0" w:line="167" w:lineRule="exact"/>
        <w:rPr>
          <w:rFonts w:ascii="Times New Roman" w:cs="Times New Roman" w:eastAsia="Times New Roman" w:hAnsi="Times New Roman"/>
          <w:sz w:val="17"/>
          <w:szCs w:val="17"/>
          <w:color w:val="auto"/>
        </w:rPr>
      </w:pPr>
    </w:p>
    <w:p>
      <w:pPr>
        <w:ind w:left="1040" w:right="540" w:hanging="263"/>
        <w:spacing w:after="0" w:line="27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fails to make charter payments because of its financial inability or its inability to trade our and other vessels profitably or due to the occurrence of losses due to the weaker charter markets;</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fails to make charter payments due to distress, disagreements with us or otherwise;</w:t>
      </w:r>
    </w:p>
    <w:p>
      <w:pPr>
        <w:spacing w:after="0" w:line="205" w:lineRule="exact"/>
        <w:rPr>
          <w:rFonts w:ascii="Times New Roman" w:cs="Times New Roman" w:eastAsia="Times New Roman" w:hAnsi="Times New Roman"/>
          <w:sz w:val="17"/>
          <w:szCs w:val="17"/>
          <w:color w:val="auto"/>
        </w:rPr>
      </w:pPr>
    </w:p>
    <w:p>
      <w:pPr>
        <w:ind w:left="1040" w:right="340" w:hanging="263"/>
        <w:spacing w:after="0" w:line="27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seeks to renegotiate the terms of the charter agreements due to prevailing economic and market conditions or due to its continued poor performance;</w:t>
      </w:r>
    </w:p>
    <w:p>
      <w:pPr>
        <w:spacing w:after="0" w:line="120"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exercises certain rights to terminate the charters;</w:t>
      </w:r>
    </w:p>
    <w:p>
      <w:pPr>
        <w:spacing w:after="0" w:line="205" w:lineRule="exact"/>
        <w:rPr>
          <w:rFonts w:ascii="Times New Roman" w:cs="Times New Roman" w:eastAsia="Times New Roman" w:hAnsi="Times New Roman"/>
          <w:sz w:val="17"/>
          <w:szCs w:val="17"/>
          <w:color w:val="auto"/>
        </w:rPr>
      </w:pPr>
    </w:p>
    <w:p>
      <w:pPr>
        <w:ind w:left="1040" w:right="260" w:hanging="263"/>
        <w:spacing w:after="0" w:line="27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prolonged force majeure event affecting the charterer, including war or political unrest, prevents us from performing services for that charterer; or</w:t>
      </w:r>
    </w:p>
    <w:p>
      <w:pPr>
        <w:spacing w:after="0" w:line="167" w:lineRule="exact"/>
        <w:rPr>
          <w:rFonts w:ascii="Times New Roman" w:cs="Times New Roman" w:eastAsia="Times New Roman" w:hAnsi="Times New Roman"/>
          <w:sz w:val="17"/>
          <w:szCs w:val="17"/>
          <w:color w:val="auto"/>
        </w:rPr>
      </w:pPr>
    </w:p>
    <w:p>
      <w:pPr>
        <w:ind w:left="1040" w:right="380" w:hanging="263"/>
        <w:spacing w:after="0" w:line="27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charterer terminates the charters because we fail to comply with the safety and regulatory criteria of the charterer or the rules and regulations of various maritime organizations and bodies.</w:t>
      </w:r>
    </w:p>
    <w:p>
      <w:pPr>
        <w:spacing w:after="0" w:line="283"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4" w:name="page15"/>
    <w:bookmarkEnd w:id="14"/>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In the event we lose the benefit of the charters with BP, Cheniere, Engie, Hartree, HMM or Hapag-Lloyd prior to their respective expiration date, we would have to re-charter the vessels at the then prevailing charter rates. If the charter market is depressed at such time, or when time charters for our vessels otherwise expire, we may be forced to re-charter our vessels at reduced or even unprofitable rates, or we may not be able to re-charter them at all, and our business, financial condition, results of operation, cash flows and ability to make distribution and service or refinance our debt may be materially and adversely affected.</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79"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Many charterers are highly leveraged. A combination of factors, including, among other things, unavailability of credit, volatility in financial markets, overcapacity, competitive pressure, declines in world trade and depressed freight rates, have severely affected the financial condition of charterers in the recent past, including liner companies, and their ability to make charter payments, which resulted in a material increase in the credit and counterparty risks to which we were exposed and our ability to re-charter our vessels at competitive rates.</w:t>
      </w:r>
    </w:p>
    <w:p>
      <w:pPr>
        <w:spacing w:after="0" w:line="111"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For example, HMM, the charterer of five of our container vessels, completed a financial restructuring in July 2016. In connection with this restructuring, we agreed a reduction of the charter rate payable to us of 20% to $23,480 per day (from a gross daily rate of $29,350) for a three and a half year period ended in December 2019 and as compensation for the charter rate reduction, we received approximately 4.4 million HMM common shares, which we sold on the Stock Market Division of the Korean Exchange in August 2016 for aggregate cash consideration of $29.7 million.</w:t>
      </w:r>
    </w:p>
    <w:p>
      <w:pPr>
        <w:spacing w:after="0" w:line="149"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133"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 number of our charterers are private companies and we may have limited access to their financial information, which may result in us having limited information on their financial strength and ability to meet their financial obligations.</w:t>
      </w:r>
    </w:p>
    <w:p>
      <w:pPr>
        <w:spacing w:after="0" w:line="83"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We currently derive all of our revenues from a limited number of charterers and the loss of any charterer or charter or vessel could result in a significant loss of revenues and cash flows.</w:t>
      </w:r>
    </w:p>
    <w:p>
      <w:pPr>
        <w:spacing w:after="0" w:line="66"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We have derived, and expect that we will continue to derive, all of our revenues and cash flows from a limited number of charterers. For the year ended December 31, 2022 our charterers who individually accounted for more than 10% of total revenues were BP, HMM, Cheniere and Hapag-Lloyd, who accounted for 28%, 18%, 17% and 16% of our revenues, respectively.</w:t>
      </w:r>
    </w:p>
    <w:p>
      <w:pPr>
        <w:spacing w:after="0" w:line="110"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We could lose a charterer, including charterers who individually account for more than 10% of our total revenues or the benefits of some or all of our charters, including in circumstances described above in “—Certain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Pandemics such as the novel coronavirus (COVID-19) have, in the short to medium term, had an adverse effect on our operations and financial condition and may have unpredictable long-term effects, including on the demand and supply for LNG, container and drybulk vessels.</w:t>
      </w:r>
    </w:p>
    <w:p>
      <w:pPr>
        <w:spacing w:after="0" w:line="141"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On March 11, 2020, the World Health Organization declared the spread of a novel coronavirus (COVID-19) to be a global pandemic. The COVID-19 pandemic and the government responses thereto negatively impacted the global economy, disrupted global supply chains, created significant volatility and disruption in financial markets and increased unemployment levels. In addition, the pandemic has resulted in the imposition of various travel restrictions, health protocols and changing quarantine regimes in the countries in which we operate. These have translated into, among other things, increased costs and off-hire related to crewing, crew rotation and crew related expenses, higher forwarding expenses and longer lead times to delivery, as well as increased dry-docking duration and costs. While most economies have reopened, it is impossible to predict the course the virus will take, how governments would respond to additional waves of the virus and the long-term effectiveness of vaccines against the virus. In the long run, the impact of COVID-19 on the global economy, consumer behavior, globalization and international trade remains uncertain.</w:t>
      </w: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expect that pandemics generally could affect our business in the following ways, among others:</w:t>
      </w:r>
    </w:p>
    <w:p>
      <w:pPr>
        <w:spacing w:after="0" w:line="193" w:lineRule="exact"/>
        <w:rPr>
          <w:sz w:val="20"/>
          <w:szCs w:val="20"/>
          <w:color w:val="auto"/>
        </w:rPr>
      </w:pPr>
    </w:p>
    <w:p>
      <w:pPr>
        <w:ind w:left="600" w:right="80" w:hanging="299"/>
        <w:spacing w:after="0" w:line="272"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may reduce the demand for LNG or goods worldwide without a commensurate corresponding change in the number of vessels worldwide, thereby increasing competition and decreasing the market price for transporting LNG, containerized and drybulk products;</w:t>
      </w:r>
    </w:p>
    <w:p>
      <w:pPr>
        <w:spacing w:after="0" w:line="9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could impose quarantine checks and hygiene measures on arriving vessels, causing delays in loading and delivery of cargo;</w:t>
      </w:r>
    </w:p>
    <w:p>
      <w:pPr>
        <w:spacing w:after="0" w:line="217" w:lineRule="exact"/>
        <w:rPr>
          <w:rFonts w:ascii="Times New Roman" w:cs="Times New Roman" w:eastAsia="Times New Roman" w:hAnsi="Times New Roman"/>
          <w:sz w:val="17"/>
          <w:szCs w:val="17"/>
          <w:color w:val="auto"/>
        </w:rPr>
      </w:pPr>
    </w:p>
    <w:p>
      <w:pPr>
        <w:jc w:val="both"/>
        <w:ind w:left="600" w:hanging="299"/>
        <w:spacing w:after="0" w:line="254"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process of buying, selling, and maintaining vessels may become more onerous and time-intensive. For instance, delays may be caused at shipyards for newbuildings, dry-docks and other work, in vessel inspections and related certifications by class societies, customers or government agencies, as well as delays and shortages or a lack of access to required spare parts and lack of berths or shortages in labor, which may in turn delay any repairs to, scheduled or unscheduled maintenance or modifications, or dry-docking of our vessels;</w:t>
      </w:r>
    </w:p>
    <w:p>
      <w:pPr>
        <w:spacing w:after="0" w:line="300"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jc w:val="both"/>
        <w:ind w:left="600" w:hanging="299"/>
        <w:spacing w:after="0" w:line="252"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 decrease in productivity, generally, as people—including our Managers’ office employees and crews, as well as our counterparties—fall ill and take time off from work. We are particularly vulnerable to our crew members getting sick, as if even one of our crew members is ill, local authorities could require us to detain and quarantine the applicable vessel and its entire crew for an unspecified amount of time, disinfect and fumigate the vessel, or take similar precautions, which would add costs, decrease our utilization, and substantially disrupt our cargo operations. If a vessel’s entire crew falls seriously ill, we may have substantial difficulty operating that vessel which may necessitate extraordinary external aid;</w:t>
      </w:r>
    </w:p>
    <w:p>
      <w:pPr>
        <w:spacing w:after="0" w:line="151" w:lineRule="exact"/>
        <w:rPr>
          <w:rFonts w:ascii="Times New Roman" w:cs="Times New Roman" w:eastAsia="Times New Roman" w:hAnsi="Times New Roman"/>
          <w:sz w:val="17"/>
          <w:szCs w:val="17"/>
          <w:color w:val="auto"/>
        </w:rPr>
      </w:pPr>
    </w:p>
    <w:p>
      <w:pPr>
        <w:jc w:val="both"/>
        <w:ind w:left="600" w:hanging="299"/>
        <w:spacing w:after="0" w:line="252"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transportation of personnel could be limited or otherwise disrupted. In particular, our crews generally work on a rotation basis, relying largely on international air transport for crew changes plan fulfillment. Any such disruptions could impact the cost of rotating our crew and our ability to maintain a full crew synthesis onboard all our vessels at any given time. It may also be difficult for our in-house technical teams to travel to ship yards to observe vessel maintenance, and we may need to hire local experts who may vary in skill and are difficult to supervise remotely, to conduct work we ordinarily address in-house;</w:t>
      </w:r>
    </w:p>
    <w:p>
      <w:pPr>
        <w:spacing w:after="0" w:line="138"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may impose new regulations, directives or practices, which we may be obligated to implement at our own expense;</w:t>
      </w:r>
    </w:p>
    <w:p>
      <w:pPr>
        <w:spacing w:after="0" w:line="217"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or all of the foregoing could lead our charterers to try to invoke force majeure clauses; and</w:t>
      </w:r>
    </w:p>
    <w:p>
      <w:pPr>
        <w:spacing w:after="0" w:line="205" w:lineRule="exact"/>
        <w:rPr>
          <w:rFonts w:ascii="Times New Roman" w:cs="Times New Roman" w:eastAsia="Times New Roman" w:hAnsi="Times New Roman"/>
          <w:sz w:val="17"/>
          <w:szCs w:val="17"/>
          <w:color w:val="auto"/>
        </w:rPr>
      </w:pPr>
    </w:p>
    <w:p>
      <w:pPr>
        <w:ind w:left="600" w:right="140" w:hanging="299"/>
        <w:spacing w:after="0" w:line="272"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tightening or declines in global financial markets, including to the prices of our publicly traded securities and the securities of our peers, could make it more difficult for us to access capital, including to finance our existing debt obligations.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Any of these public health threats and related consequences could adversely affect our financial results.</w:t>
      </w:r>
    </w:p>
    <w:p>
      <w:pPr>
        <w:spacing w:after="0" w:line="180" w:lineRule="exact"/>
        <w:rPr>
          <w:sz w:val="20"/>
          <w:szCs w:val="20"/>
          <w:color w:val="auto"/>
        </w:rPr>
      </w:pPr>
    </w:p>
    <w:p>
      <w:pPr>
        <w:jc w:val="both"/>
        <w:ind w:firstLine="523"/>
        <w:spacing w:after="0" w:line="274" w:lineRule="auto"/>
        <w:rPr>
          <w:sz w:val="20"/>
          <w:szCs w:val="20"/>
          <w:color w:val="auto"/>
        </w:rPr>
      </w:pPr>
      <w:r>
        <w:rPr>
          <w:rFonts w:ascii="Times New Roman" w:cs="Times New Roman" w:eastAsia="Times New Roman" w:hAnsi="Times New Roman"/>
          <w:sz w:val="17"/>
          <w:szCs w:val="17"/>
          <w:color w:val="auto"/>
        </w:rPr>
        <w:t>These and other impacts of pandemics in general, including the COVID-19 pandemic, could have the effect of heightening many of the other risk factors disclosed in this Annual Report. The actual impact of the COVID-19 pandemic in the longer run may take some time to materialize and may not be fully reflected in the results for the year ending December 31, 2022.</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color w:val="auto"/>
        </w:rPr>
        <w:t>We mostly depend on our Managers, which are privately held companies for the commercial and technical management of our fleet. If, for any reason, any of our Managers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p>
    <w:p>
      <w:pPr>
        <w:spacing w:after="0" w:line="9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Managers are privately held companies and not part of the group of companies controlled by Capital Maritime. Accordingly, they do not benefit from the financial and operational support of Capital Maritime as parent company.</w:t>
      </w:r>
    </w:p>
    <w:p>
      <w:pPr>
        <w:spacing w:after="0" w:line="70" w:lineRule="exact"/>
        <w:rPr>
          <w:sz w:val="20"/>
          <w:szCs w:val="20"/>
          <w:color w:val="auto"/>
        </w:rPr>
      </w:pPr>
    </w:p>
    <w:p>
      <w:pPr>
        <w:jc w:val="both"/>
        <w:ind w:firstLine="523"/>
        <w:spacing w:after="0" w:line="253" w:lineRule="auto"/>
        <w:rPr>
          <w:sz w:val="20"/>
          <w:szCs w:val="20"/>
          <w:color w:val="auto"/>
        </w:rPr>
      </w:pPr>
      <w:r>
        <w:rPr>
          <w:rFonts w:ascii="Times New Roman" w:cs="Times New Roman" w:eastAsia="Times New Roman" w:hAnsi="Times New Roman"/>
          <w:sz w:val="16"/>
          <w:szCs w:val="16"/>
          <w:color w:val="auto"/>
        </w:rPr>
        <w:t>Under the arrangements we have with our Managers, they provide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Partnership—B. Business Overview—Our Management Agreements.” Accordingly, our operational success and ability to execute our growth strategy depend significantly upon our Managers’ satisfactory performance of these services.</w:t>
      </w:r>
    </w:p>
    <w:p>
      <w:pPr>
        <w:spacing w:after="0" w:line="126"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Furthermore, our success in securing new charters and expanding our relationships with charterers depend largely on our Managers’ reputation, relationships in the shipping industry and ability to qualify for long-term business with major charterers.</w:t>
      </w:r>
    </w:p>
    <w:p>
      <w:pPr>
        <w:spacing w:after="0" w:line="97"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If our Managers’ reputation or industry relationships are harmed, justifiably or not, or if any of our Managers does not perform satisfactorily under our management agreements,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12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If any of the above risks were to materialize, our business, financial condition, results of operations, cash flows and our ability to make cash distributions and service or refinance our debt may be materially affected.</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The fees and expenses we pay to our Managers for services provided to us are substantial, fluctuate, cannot be easily predicted and may reduce our cash available for distribution to our unitholders.</w:t>
      </w:r>
    </w:p>
    <w:p>
      <w:pPr>
        <w:spacing w:after="0" w:line="66"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In the light of the floating fee structure of our management agreements, any increase in the costs and expenses associated with the provision of our Managers’ services, by reason, for example, of the condition and age of our vessels, costs of crews for our time chartered vessels and insurance, will be borne by us.</w:t>
      </w:r>
    </w:p>
    <w:p>
      <w:pPr>
        <w:spacing w:after="0" w:line="109"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7"/>
          <w:szCs w:val="17"/>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89"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Fees charged by our Managers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make cash distributions and service or refinance our debt.</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We depend on our General Partner, a private company under the ownership of Mr. Miltiadis E. Marinakis, for the day-to-day management of our affairs.</w:t>
      </w:r>
    </w:p>
    <w:p>
      <w:pPr>
        <w:spacing w:after="0" w:line="197"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Our General Partner, Capital GP L.L.C., is a privately held company initially formed and controlled by Capital Maritime. In April 2019, Capital Maritime transferred all membership interests in our General Partner to Mr. Miltiadis E. Marinakis. Please read “—Risks Inherent in an Investment in Us—The control of our General Partner may be transferred to a third party without unitholder consent.” Mr. Miltiadis E. Marinakis, born in 1999, is the son of Mr. Evangelos M. Marinakis. Although not engaged in day-to-day management, Mr. Miltiadis E. Marinakis holds and oversees certain shipping interests on behalf of the Marinakis family.</w:t>
      </w:r>
    </w:p>
    <w:p>
      <w:pPr>
        <w:spacing w:after="0" w:line="124"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To date, our board of directors has not exercised its power to appoint officers of the Partnership. As a result, we rely, and expect to continue to rely, solely on the officers of our General Partner. Please read “—Risks Inherent in an Investment in Us—We currently do not have any officers and rely, and expect to continue to rely, solely on officers of our General Partner, who face conflicts in the allocation of their time to our business.” Accordingly, the proper management of our business depends significantly upon our General Partner.</w:t>
      </w:r>
    </w:p>
    <w:p>
      <w:pPr>
        <w:spacing w:after="0" w:line="124"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If the reputation, industry relationships or standing in the market of the General Partner and, in turn, the Partnership, are harmed, justifiably or not, or if our General Partner fails to properly manage our affairs, our ability to secure new charters, interact with counterparties, obtain financing on commercially acceptable terms, access capital markets, or maintain satisfactory relationships with suppliers and other third parties may be materially affected. If any of these risks were to materialize, our business, financial condition, results of operations, cash flows and our ability to make cash distributions and service or refinance our debt may be materially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vessels’ present and future employment could be adversely affected by an inability to clear charterers’ risk assessment process.</w:t>
      </w:r>
    </w:p>
    <w:p>
      <w:pPr>
        <w:spacing w:after="0" w:line="172"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6"/>
          <w:szCs w:val="16"/>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“—Our growth and our ability to re-charter our LNG vessels and containerships depend on, among other things, our ability to expand relationships with existing charterers and develop relationships with new charterers, for which we will face substantial competition.” the following factors may be considered when awarding such contracts, including:</w:t>
      </w:r>
    </w:p>
    <w:p>
      <w:pPr>
        <w:spacing w:after="0" w:line="135" w:lineRule="exact"/>
        <w:rPr>
          <w:sz w:val="20"/>
          <w:szCs w:val="20"/>
          <w:color w:val="auto"/>
        </w:rPr>
      </w:pPr>
    </w:p>
    <w:p>
      <w:pPr>
        <w:ind w:left="1040" w:hanging="263"/>
        <w:spacing w:after="0"/>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assessments and audits of the vessel operator;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operator’s environmental, health and safety record;</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standards of the International Maritime Organization;</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heightened industry standards;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shipping industry relationships, reputation for customer service, technical and operating expertise; and</w:t>
      </w:r>
    </w:p>
    <w:p>
      <w:pPr>
        <w:spacing w:after="0" w:line="205" w:lineRule="exact"/>
        <w:rPr>
          <w:rFonts w:ascii="Times New Roman" w:cs="Times New Roman" w:eastAsia="Times New Roman" w:hAnsi="Times New Roman"/>
          <w:sz w:val="17"/>
          <w:szCs w:val="17"/>
          <w:color w:val="auto"/>
        </w:rPr>
      </w:pPr>
    </w:p>
    <w:p>
      <w:pPr>
        <w:ind w:left="1040" w:right="300" w:hanging="263"/>
        <w:spacing w:after="0" w:line="272" w:lineRule="auto"/>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charterer’s codes of conduct, policies and guidelines, including transparency, anti-bribery and ethical conduct requirements and relationships with third parties.</w:t>
      </w:r>
    </w:p>
    <w:p>
      <w:pPr>
        <w:spacing w:after="0" w:line="108"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Should our Managers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make cash distributions and service or refinance our debt.</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If we decide to install scrubbers on additional vessels, the number of off-hire days of our fleet will increase and we will incur expenses related to the dry-dockings and, as a result, our cash available for distribution to our unitholders may decrease.</w:t>
      </w:r>
    </w:p>
    <w:p>
      <w:pPr>
        <w:spacing w:after="0" w:line="7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of the date of this Annual Report, five of our vessels have been retrofitted with scrubbers while two were delivered from the building yard with scrubbers attached. We expect that the three 10,000 TEU container carrier vessels we acquired in January 2020 will be retrofitted with scrubbers in 2023. We may decide to retrofit the rest of our fleet with scrubbers in the future, subject to market developments and shipyard availability. The installation of scrubber equipment requires the vessel to be dry-docked and incur off-hire days. We estimate that the installation of a scrubber (without any unforeseen delays) requires 40 to 75 off-hire days per vessel.</w:t>
      </w:r>
    </w:p>
    <w:p>
      <w:pPr>
        <w:spacing w:after="0" w:line="101"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In addition to the installation of scrubbers or other equipment we may decide to put a vessel into dry-dock before the scheduled dry-docking date in anticipation of regulatory changes, opportunities in the charter market or if we deem that, due to the location of the vessel, it will be less costly to put the vessel into dry-dock at the time.</w:t>
      </w:r>
    </w:p>
    <w:p>
      <w:pPr>
        <w:spacing w:after="0" w:line="108"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Once one of our vessels is dry-docked, it is automatically considered to be off-hire for the duration of the special or intermediate survey or dry-docking, which means that for such period of time that vessel will not be earning any revenues. During that period, we however may incur, or may be required to reimburse our applicable Managers for, on-going operating expenses or other expenses related to the dry-dock. Accordingly, dry-docking may materially affect our cash available for distribution to our unitholders.</w:t>
      </w:r>
    </w:p>
    <w:p>
      <w:pPr>
        <w:spacing w:after="0" w:line="8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7" w:name="page18"/>
    <w:bookmarkEnd w:id="17"/>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6"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Our vessels and their cargoes are at risk of being damaged or lost because of events such as marine disasters, bad weather (including severe weather events resulting from climate change), business interruptions caused by mechanical failures, grounding, fire, explosions and collisions, human error, war, terrorism, piracy and other circumstances or events. For the LNG carriers, there is a risk of damage in the membrane of the cargo tanks due to sloshing in extreme weather.</w:t>
      </w:r>
    </w:p>
    <w:p>
      <w:pPr>
        <w:spacing w:after="0" w:line="135"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In cases,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b w:val="1"/>
          <w:bCs w:val="1"/>
          <w:color w:val="auto"/>
        </w:rPr>
        <w:t>As our fleet ages, the risks associated with older vessels could adversely affect our ability to obtain profitable charters, comply with debt covenants or raise financing. In addition, if we purchase and operate secondhand vessels, we may be exposed to increased operating costs and capital expenditure associated with new regulations, which could adversely affect our results of operations.</w:t>
      </w:r>
    </w:p>
    <w:p>
      <w:pPr>
        <w:spacing w:after="0" w:line="104"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Our fleet of 23 vessels, including the 13,312 TEU container vessel that we expect to take delivery of in June 2023, had a DWT weighted average age of approximately 6.7 years as of March 31, 2023 compared to the industry average of 13.2 years (adjusted for the composition of our fleet). See “Item 4. Information on the Partnership—B. Business Overview —Our Fleet”.</w:t>
      </w:r>
    </w:p>
    <w:p>
      <w:pPr>
        <w:spacing w:after="0" w:line="108" w:lineRule="exact"/>
        <w:rPr>
          <w:sz w:val="20"/>
          <w:szCs w:val="20"/>
          <w:color w:val="auto"/>
        </w:rPr>
      </w:pPr>
    </w:p>
    <w:p>
      <w:pPr>
        <w:jc w:val="both"/>
        <w:ind w:firstLine="523"/>
        <w:spacing w:after="0" w:line="234" w:lineRule="auto"/>
        <w:rPr>
          <w:sz w:val="20"/>
          <w:szCs w:val="20"/>
          <w:color w:val="auto"/>
        </w:rPr>
      </w:pPr>
      <w:r>
        <w:rPr>
          <w:rFonts w:ascii="Times New Roman" w:cs="Times New Roman" w:eastAsia="Times New Roman" w:hAnsi="Times New Roman"/>
          <w:sz w:val="17"/>
          <w:szCs w:val="17"/>
          <w:color w:val="auto"/>
        </w:rPr>
        <w:t>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aging fleet might affect our ability to remain in compliance with debt covenants and/or raise financing.</w:t>
      </w:r>
    </w:p>
    <w:p>
      <w:pPr>
        <w:spacing w:after="0" w:line="124"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In particular, seven of our vessels are not “eco-type” designs. Recent orders of container and drybulk vessels are based on new designs purporting to offer material bunker savings compared to older designs and greater carrying capacity. Such savings could result in a substantial reduction of bunker cost for charterers on a per unit basis. As the supply of “eco-type” vessels increases, if charterers prefer such vessels over our vessels that are not classified as such, this may reduce demand for our non-”eco-type” vessels, impair our ability to re-charter such vessels at competitive rates or at all. This could adversely affect our business, financial condition, results of operations, cash flows and ability to make cash distributions and service our debt.</w:t>
      </w:r>
    </w:p>
    <w:p>
      <w:pPr>
        <w:spacing w:after="0" w:line="105" w:lineRule="exact"/>
        <w:rPr>
          <w:sz w:val="20"/>
          <w:szCs w:val="20"/>
          <w:color w:val="auto"/>
        </w:rPr>
      </w:pPr>
    </w:p>
    <w:p>
      <w:pPr>
        <w:jc w:val="both"/>
        <w:ind w:firstLine="523"/>
        <w:spacing w:after="0" w:line="271" w:lineRule="auto"/>
        <w:rPr>
          <w:sz w:val="20"/>
          <w:szCs w:val="20"/>
          <w:color w:val="auto"/>
        </w:rPr>
      </w:pPr>
      <w:r>
        <w:rPr>
          <w:rFonts w:ascii="Times New Roman" w:cs="Times New Roman" w:eastAsia="Times New Roman" w:hAnsi="Times New Roman"/>
          <w:sz w:val="16"/>
          <w:szCs w:val="16"/>
          <w:color w:val="auto"/>
        </w:rPr>
        <w:t>If we purchase secondhand vessels, we will not have the same knowledge about their condition as the knowledge we have about the condition of the vessels that were built for and operated solely by us. Generally, we will not receive the benefit of warranties from the builder for any secondhand vessel that we may acquire.</w:t>
      </w:r>
    </w:p>
    <w:p>
      <w:pPr>
        <w:spacing w:after="0" w:line="10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color w:val="auto"/>
        </w:rPr>
        <w:t>Marine transportation is inherently risky, and an incident involving significant loss of, or environmental contamination by, any of our vessels could harm our reputation and business.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vessels and their cargoes are at risk of being damaged or lost because of events such as:</w:t>
      </w:r>
    </w:p>
    <w:p>
      <w:pPr>
        <w:spacing w:after="0" w:line="193" w:lineRule="exact"/>
        <w:rPr>
          <w:sz w:val="20"/>
          <w:szCs w:val="20"/>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disasters;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bad weather (including severe weather events resulting from climate change);</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grounding, fire, explosions and collisions;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piracy;</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error; and</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terrorism.</w:t>
      </w:r>
    </w:p>
    <w:p>
      <w:pPr>
        <w:spacing w:after="0" w:line="200" w:lineRule="exact"/>
        <w:rPr>
          <w:sz w:val="20"/>
          <w:szCs w:val="20"/>
          <w:color w:val="auto"/>
        </w:rPr>
      </w:pPr>
    </w:p>
    <w:p>
      <w:pPr>
        <w:spacing w:after="0" w:line="394" w:lineRule="exact"/>
        <w:rPr>
          <w:sz w:val="20"/>
          <w:szCs w:val="20"/>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damage;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or injury to persons, or loss of property;</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delivery of cargo;</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revenues from, or termination of, charter contracts;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fines, penalties or restrictions on conducting business;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insurance rates; and</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and customer relationships generally.</w:t>
      </w:r>
    </w:p>
    <w:p>
      <w:pPr>
        <w:spacing w:after="0" w:line="205"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Any of these results could have a material adverse effect on our business, financial condition, operating results and ability to make cash distributions and to service or refinance our debt.</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33" w:right="339" w:bottom="449"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Our insurance may be insufficient to cover losses that may occur to our property or result from our commercial operations.</w:t>
      </w:r>
    </w:p>
    <w:p>
      <w:pPr>
        <w:spacing w:after="0" w:line="184"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make cash distributions and to service or refinance our debt. Claims covered by insurance are subject to deductibles and since it is possible that a large number of claims may arise, the aggregate amount of these deductibles could be material.</w:t>
      </w:r>
    </w:p>
    <w:p>
      <w:pPr>
        <w:spacing w:after="0" w:line="124" w:lineRule="exact"/>
        <w:rPr>
          <w:sz w:val="20"/>
          <w:szCs w:val="20"/>
          <w:color w:val="auto"/>
        </w:rPr>
      </w:pPr>
    </w:p>
    <w:p>
      <w:pPr>
        <w:jc w:val="both"/>
        <w:ind w:firstLine="523"/>
        <w:spacing w:after="0" w:line="267" w:lineRule="auto"/>
        <w:rPr>
          <w:sz w:val="20"/>
          <w:szCs w:val="20"/>
          <w:color w:val="auto"/>
        </w:rPr>
      </w:pPr>
      <w:r>
        <w:rPr>
          <w:rFonts w:ascii="Times New Roman" w:cs="Times New Roman" w:eastAsia="Times New Roman" w:hAnsi="Times New Roman"/>
          <w:sz w:val="17"/>
          <w:szCs w:val="17"/>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Changes in the insurance markets attributable to terrorist attacks may also make certain types of insurance more difficult for us to obtain.</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addition, the insurance that may be available to us may be significantly more expensive than our existing coverage.</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b w:val="1"/>
          <w:bCs w:val="1"/>
          <w:color w:val="auto"/>
        </w:rPr>
        <w:t>We may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124"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Cover for third party liability incurred in consequence of commercial operations is provided through membership in Protection &amp; Indemnity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b w:val="1"/>
          <w:bCs w:val="1"/>
          <w:color w:val="auto"/>
        </w:rPr>
        <w:t>The crew employment agreements that manning agents enter into on behalf of our Managers, may not prevent labor interruptions, and the failure to renegotiate these agreements or to successfully attract and retain qualified personnel in the future may disrupt our operations and adversely affect our cash flows.</w:t>
      </w:r>
    </w:p>
    <w:p>
      <w:pPr>
        <w:spacing w:after="0" w:line="129" w:lineRule="exact"/>
        <w:rPr>
          <w:sz w:val="20"/>
          <w:szCs w:val="20"/>
          <w:color w:val="auto"/>
        </w:rPr>
      </w:pPr>
    </w:p>
    <w:p>
      <w:pPr>
        <w:jc w:val="both"/>
        <w:ind w:firstLine="523"/>
        <w:spacing w:after="0" w:line="263" w:lineRule="auto"/>
        <w:rPr>
          <w:sz w:val="20"/>
          <w:szCs w:val="20"/>
          <w:color w:val="auto"/>
        </w:rPr>
      </w:pPr>
      <w:r>
        <w:rPr>
          <w:rFonts w:ascii="Times New Roman" w:cs="Times New Roman" w:eastAsia="Times New Roman" w:hAnsi="Times New Roman"/>
          <w:sz w:val="17"/>
          <w:szCs w:val="17"/>
          <w:color w:val="auto"/>
        </w:rPr>
        <w:t>The collective bargaining agreement between our Manager, Capital-Executive, and the Pan-Hellenic Seamen’s Federation, effective August 1, 2022, expires on July 31, 2023.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92"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Arrests of our vessels by maritime claimants could cause a significant loss of earnings for the related off-hire period.</w:t>
      </w:r>
    </w:p>
    <w:p>
      <w:pPr>
        <w:spacing w:after="0" w:line="184" w:lineRule="exact"/>
        <w:rPr>
          <w:sz w:val="20"/>
          <w:szCs w:val="20"/>
          <w:color w:val="auto"/>
        </w:rPr>
      </w:pPr>
    </w:p>
    <w:p>
      <w:pPr>
        <w:jc w:val="both"/>
        <w:ind w:firstLine="523"/>
        <w:spacing w:after="0" w:line="241" w:lineRule="auto"/>
        <w:rPr>
          <w:sz w:val="20"/>
          <w:szCs w:val="20"/>
          <w:color w:val="auto"/>
        </w:rPr>
      </w:pPr>
      <w:r>
        <w:rPr>
          <w:rFonts w:ascii="Times New Roman" w:cs="Times New Roman" w:eastAsia="Times New Roman" w:hAnsi="Times New Roman"/>
          <w:sz w:val="16"/>
          <w:szCs w:val="16"/>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units and adversely affect our business, financial condition, results of operations, cash flows and ability to make cash distributions and service or refinance our debt.</w:t>
      </w:r>
    </w:p>
    <w:p>
      <w:pPr>
        <w:spacing w:after="0" w:line="263"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Governments could requisition our vessels during a period of war or emergency, resulting in loss of earnings.</w:t>
      </w:r>
    </w:p>
    <w:p>
      <w:pPr>
        <w:spacing w:after="0" w:line="184"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Acts of piracy on ocean-going vessels have continued and could adversely affect our business.</w:t>
      </w:r>
    </w:p>
    <w:p>
      <w:pPr>
        <w:spacing w:after="0" w:line="184"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 the Gulf of Guinea.</w:t>
      </w:r>
    </w:p>
    <w:p>
      <w:pPr>
        <w:spacing w:after="0" w:line="120" w:lineRule="exact"/>
        <w:rPr>
          <w:sz w:val="20"/>
          <w:szCs w:val="20"/>
          <w:color w:val="auto"/>
        </w:rPr>
      </w:pPr>
    </w:p>
    <w:p>
      <w:pPr>
        <w:jc w:val="both"/>
        <w:ind w:firstLine="523"/>
        <w:spacing w:after="0" w:line="228" w:lineRule="auto"/>
        <w:rPr>
          <w:sz w:val="20"/>
          <w:szCs w:val="20"/>
          <w:color w:val="auto"/>
        </w:rPr>
      </w:pPr>
      <w:r>
        <w:rPr>
          <w:rFonts w:ascii="Times New Roman" w:cs="Times New Roman" w:eastAsia="Times New Roman" w:hAnsi="Times New Roman"/>
          <w:sz w:val="17"/>
          <w:szCs w:val="17"/>
          <w:color w:val="auto"/>
        </w:rPr>
        <w:t>If these piracy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such incidents may result in significant unrecoverable loss which could have a material adverse effect on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Political and government instability can affect the industries in which we operate, which may adversely affect our business.</w:t>
      </w:r>
    </w:p>
    <w:p>
      <w:pPr>
        <w:spacing w:after="0" w:line="197" w:lineRule="exact"/>
        <w:rPr>
          <w:sz w:val="20"/>
          <w:szCs w:val="20"/>
          <w:color w:val="auto"/>
        </w:rPr>
      </w:pPr>
    </w:p>
    <w:p>
      <w:pPr>
        <w:jc w:val="both"/>
        <w:ind w:firstLine="523"/>
        <w:spacing w:after="0" w:line="242" w:lineRule="auto"/>
        <w:rPr>
          <w:sz w:val="20"/>
          <w:szCs w:val="20"/>
          <w:color w:val="auto"/>
        </w:rPr>
      </w:pPr>
      <w:r>
        <w:rPr>
          <w:rFonts w:ascii="Times New Roman" w:cs="Times New Roman" w:eastAsia="Times New Roman" w:hAnsi="Times New Roman"/>
          <w:sz w:val="17"/>
          <w:szCs w:val="17"/>
          <w:color w:val="auto"/>
        </w:rPr>
        <w:t>We conduct most of our operations outside of the United States,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07"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Any such attacks could lead to, among other things, bodily injury or loss of life, vessel or other property damage and increased vessel operational costs, including insurance costs.</w:t>
      </w:r>
    </w:p>
    <w:p>
      <w:pPr>
        <w:spacing w:after="0" w:line="124"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11" w:lineRule="exact"/>
        <w:rPr>
          <w:sz w:val="20"/>
          <w:szCs w:val="20"/>
          <w:color w:val="auto"/>
        </w:rPr>
      </w:pPr>
    </w:p>
    <w:p>
      <w:pPr>
        <w:jc w:val="both"/>
        <w:ind w:firstLine="523"/>
        <w:spacing w:after="0" w:line="241" w:lineRule="auto"/>
        <w:rPr>
          <w:sz w:val="20"/>
          <w:szCs w:val="20"/>
          <w:color w:val="auto"/>
        </w:rPr>
      </w:pPr>
      <w:r>
        <w:rPr>
          <w:rFonts w:ascii="Times New Roman" w:cs="Times New Roman" w:eastAsia="Times New Roman" w:hAnsi="Times New Roman"/>
          <w:sz w:val="16"/>
          <w:szCs w:val="16"/>
          <w:color w:val="auto"/>
        </w:rPr>
        <w:t>The ongoing conflict between Russia and Ukraine may lead to further regional and international conflicts or armed action. The invasion of Ukraine has disrupted supply chains, caused instability in the global economy and added pressure to already rising inflation; these effects are likely to continue and possibly compound as the conflict remains ongoing. Economic sanctions levied on Russia, its leaders and on Russian oil and oil products may cause further global economic downturns, including additional increases in bunker costs, and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In 2022, Russian gas accounted for 14% of total gas produced and Russian LNG exports for 8% of the global trade. It is noteworthy that Russian gas accounted for 24% of all natural gas consumed in Europe during 2022. Furthermore, it is possible that third parties with whom we have charter contracts may be impacted by events in Russia and Ukraine, which could adversely affect our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Increases in fuel prices could adversely affect our profits.</w:t>
      </w:r>
    </w:p>
    <w:p>
      <w:pPr>
        <w:spacing w:after="0" w:line="197"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fuel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distributions and service or refinance our debt. The price and supply of fuel is unpredictable and fluctuates as a result of events outside our control, including geo-political developments (such as the ongoing military conflict between Russia and Ukraine),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290"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0" w:name="page21"/>
    <w:bookmarkEnd w:id="20"/>
    <w:p>
      <w:pPr>
        <w:jc w:val="both"/>
        <w:ind w:firstLine="523"/>
        <w:spacing w:after="0" w:line="242" w:lineRule="auto"/>
        <w:rPr>
          <w:sz w:val="20"/>
          <w:szCs w:val="20"/>
          <w:color w:val="auto"/>
        </w:rPr>
      </w:pPr>
      <w:r>
        <w:rPr>
          <w:rFonts w:ascii="Times New Roman" w:cs="Times New Roman" w:eastAsia="Times New Roman" w:hAnsi="Times New Roman"/>
          <w:sz w:val="17"/>
          <w:szCs w:val="17"/>
          <w:color w:val="auto"/>
        </w:rPr>
        <w:t>In addition, a global 0.5% sulphur cap on marine fuels imposed by the International Maritime Organization came into force on January 1, 2020, as stipulated in 2008 amendments to Annex VI to the International Convention for the Prevention of Pollution from ships (“MARPOL”). See “— Regulatory Risks—The maritime transportation industry is subject to substantial environmental and other regulations and international standards, which have become stricter over time and which may significantly limit our operations, result in substantial penalties or increase our expenditures.” A potential shortage of low sulphur marine fuels could drive prices upwards, which could adversely affect our profit margins if our container and drybulk vessels are being chartered on the spot market or are off-hire or the profit margins of our charterers.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Increased competition in technology and innovation could reduce our charter hire income and the value of our vessels.</w:t>
      </w:r>
    </w:p>
    <w:p>
      <w:pPr>
        <w:spacing w:after="0" w:line="184" w:lineRule="exact"/>
        <w:rPr>
          <w:sz w:val="20"/>
          <w:szCs w:val="20"/>
          <w:color w:val="auto"/>
        </w:rPr>
      </w:pPr>
    </w:p>
    <w:p>
      <w:pPr>
        <w:jc w:val="both"/>
        <w:ind w:firstLine="523"/>
        <w:spacing w:after="0" w:line="224" w:lineRule="auto"/>
        <w:rPr>
          <w:sz w:val="20"/>
          <w:szCs w:val="20"/>
          <w:color w:val="auto"/>
        </w:rPr>
      </w:pPr>
      <w:r>
        <w:rPr>
          <w:rFonts w:ascii="Times New Roman" w:cs="Times New Roman" w:eastAsia="Times New Roman" w:hAnsi="Times New Roman"/>
          <w:sz w:val="17"/>
          <w:szCs w:val="17"/>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Specifically for LNG, technological developments in containment systems and reliquification technology could affect the value of the vessels as well as their commercial life, as is now demonstrated in the market with older generation vessels trading at a significant discount as compared to modern vessels.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91" w:lineRule="exact"/>
        <w:rPr>
          <w:sz w:val="20"/>
          <w:szCs w:val="20"/>
          <w:color w:val="auto"/>
        </w:rPr>
      </w:pPr>
    </w:p>
    <w:p>
      <w:pPr>
        <w:jc w:val="both"/>
        <w:ind w:firstLine="523"/>
        <w:spacing w:after="0" w:line="289" w:lineRule="auto"/>
        <w:rPr>
          <w:sz w:val="20"/>
          <w:szCs w:val="20"/>
          <w:color w:val="auto"/>
        </w:rPr>
      </w:pPr>
      <w:r>
        <w:rPr>
          <w:rFonts w:ascii="Times New Roman" w:cs="Times New Roman" w:eastAsia="Times New Roman" w:hAnsi="Times New Roman"/>
          <w:sz w:val="17"/>
          <w:szCs w:val="17"/>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58"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122" w:lineRule="exact"/>
        <w:rPr>
          <w:sz w:val="20"/>
          <w:szCs w:val="20"/>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vessels in our fleet;</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our labor and materials;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replacement life of suitable replacement vessels;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customer/market requirements;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 of the vessels in our fleet;</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charter rates in the market;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regulations, industry and maritime self-regulatory organization standards relating to safety, security or the environment.</w:t>
      </w:r>
    </w:p>
    <w:p>
      <w:pPr>
        <w:spacing w:after="0" w:line="218" w:lineRule="exact"/>
        <w:rPr>
          <w:sz w:val="20"/>
          <w:szCs w:val="20"/>
          <w:color w:val="auto"/>
        </w:rPr>
      </w:pPr>
    </w:p>
    <w:p>
      <w:pPr>
        <w:jc w:val="both"/>
        <w:ind w:firstLine="523"/>
        <w:spacing w:after="0" w:line="237" w:lineRule="auto"/>
        <w:rPr>
          <w:sz w:val="20"/>
          <w:szCs w:val="20"/>
          <w:color w:val="auto"/>
        </w:rPr>
      </w:pPr>
      <w:r>
        <w:rPr>
          <w:rFonts w:ascii="Times New Roman" w:cs="Times New Roman" w:eastAsia="Times New Roman" w:hAnsi="Times New Roman"/>
          <w:sz w:val="17"/>
          <w:szCs w:val="17"/>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35"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including as a result of efforts by central banks to address increased inflation,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newbuilds in the future, we will generally be required to make significant installment payments for such acquisitions prior to their delivery and generation of any revenue.</w:t>
      </w:r>
    </w:p>
    <w:p>
      <w:pPr>
        <w:spacing w:after="0" w:line="69"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is further increased by financing, construction supervision, vessel start-up and other costs.</w:t>
      </w:r>
    </w:p>
    <w:p>
      <w:pPr>
        <w:spacing w:after="0" w:line="120"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7"/>
          <w:szCs w:val="17"/>
          <w:color w:val="auto"/>
        </w:rPr>
        <w:t>If we enter into contracts for newbuilds directly with shipyards, we generally will be required to make installment payments prior to their delivery. We typically must pay between 5% and 10% of the purchase price of a vessel upon signing the purchase contract, even though delivery of the completed vessel will not occur until much later (approximately 18–36 months later for current orders), which could reduce cash available for distributions to unitholders.</w:t>
      </w:r>
    </w:p>
    <w:p>
      <w:pPr>
        <w:spacing w:after="0" w:line="277"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firstLine="523"/>
        <w:spacing w:after="0" w:line="260" w:lineRule="auto"/>
        <w:rPr>
          <w:sz w:val="20"/>
          <w:szCs w:val="20"/>
          <w:color w:val="auto"/>
        </w:rPr>
      </w:pPr>
      <w:r>
        <w:rPr>
          <w:rFonts w:ascii="Times New Roman" w:cs="Times New Roman" w:eastAsia="Times New Roman" w:hAnsi="Times New Roman"/>
          <w:sz w:val="17"/>
          <w:szCs w:val="17"/>
          <w:color w:val="auto"/>
        </w:rPr>
        <w:t>To fund the acquisition of a vessel or a business or other related capital expenditures, we will be required to use cash from operations or incur borrowings or raise capital through the sale of debt or additional equity securities.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increase or make cash distributions.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Failure of the scrubber or ballast water treatment equipment to operate effectively could have a material adverse impact on our business, financial condition, results of operations, cash flows and ability to make cash distributions and service or refinance our debt.</w:t>
      </w:r>
    </w:p>
    <w:p>
      <w:pPr>
        <w:spacing w:after="0" w:line="92"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As of the date of this Annual Report, five of our vessels have been retrofitted with scrubbers while two were delivered from the building yard with scrubbers attached. As of the date of this Annual Report, all of our vessels are equipped with ballast water treatment system (“BWTS”). Failure of the scrubber and/or BWTS equipment to operate effectively after installation might affect our ability to comply with regulatory requirements and/or our charter party agreements, which could have a material adverse impact on our business, financial condition, results of operations, cash flows and ability to make cash distributions and service or refinance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RISKS RELATED TO FINANCING ACTIVITIES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b w:val="1"/>
          <w:b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are reliant on our ability to obtain required financing and access the financial markets to operate and grow our business.</w:t>
      </w:r>
    </w:p>
    <w:p>
      <w:pPr>
        <w:spacing w:after="0" w:line="168" w:lineRule="exact"/>
        <w:rPr>
          <w:sz w:val="20"/>
          <w:szCs w:val="20"/>
          <w:color w:val="auto"/>
        </w:rPr>
      </w:pPr>
    </w:p>
    <w:p>
      <w:pPr>
        <w:jc w:val="both"/>
        <w:ind w:firstLine="523"/>
        <w:spacing w:after="0" w:line="247" w:lineRule="auto"/>
        <w:rPr>
          <w:sz w:val="20"/>
          <w:szCs w:val="20"/>
          <w:color w:val="auto"/>
        </w:rPr>
      </w:pPr>
      <w:r>
        <w:rPr>
          <w:rFonts w:ascii="Times New Roman" w:cs="Times New Roman" w:eastAsia="Times New Roman" w:hAnsi="Times New Roman"/>
          <w:sz w:val="16"/>
          <w:szCs w:val="16"/>
          <w:color w:val="auto"/>
        </w:rPr>
        <w:t>However, asset impairments, financial stress, enforcement actions and credit rating pressures experienced in the past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lenders, state-backed Hamburg Commercial Bank AG (“HCOB”), was mandatorily privatized.</w:t>
      </w:r>
    </w:p>
    <w:p>
      <w:pPr>
        <w:spacing w:after="0" w:line="118"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LNG,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49" w:lineRule="exact"/>
        <w:rPr>
          <w:sz w:val="20"/>
          <w:szCs w:val="20"/>
          <w:color w:val="auto"/>
        </w:rPr>
      </w:pPr>
    </w:p>
    <w:p>
      <w:pPr>
        <w:jc w:val="both"/>
        <w:ind w:firstLine="523"/>
        <w:spacing w:after="0" w:line="241" w:lineRule="auto"/>
        <w:rPr>
          <w:sz w:val="20"/>
          <w:szCs w:val="20"/>
          <w:color w:val="auto"/>
        </w:rPr>
      </w:pPr>
      <w:r>
        <w:rPr>
          <w:rFonts w:ascii="Times New Roman" w:cs="Times New Roman" w:eastAsia="Times New Roman" w:hAnsi="Times New Roman"/>
          <w:sz w:val="16"/>
          <w:szCs w:val="16"/>
          <w:color w:val="auto"/>
        </w:rPr>
        <w:t>In 2019, a number of leading lenders to the shipping industry and other industry participants announced a global framework, referred to as the “Poseidon Principles”, by which financial institutions can assess the climate alignment of their ship finance portfolios, and additional lenders have subsequently announced their intention to adhere to such principles. In addition, the EU has introduced a set of criteria for economic activities which should be framed as “green”, called the EU Taxonomy. Based on the current version of the EU Taxonomy, companies that own assets shipping fossil fuels, including LNG carriers, are considered as not aligned with the EU Taxonomy. If our operations are considered as not aligned with the EU Taxonomy, it could result in an increase in the cost of capital and/or gradually reduced access to financing as a result of financial institutions’ compliance with EU Taxonomy. Accordingly, if the vessels in our fleet are deemed not to satisfy the emissions and other sustainability standards contemplated by the Poseidon Principles, the EU Taxonomy or other Environmental Social Governance (ESG) standards required by lenders or investors, the availability and cost of bank or other financing for such vessels, or our business as a whole, may be adversely affected.</w:t>
      </w:r>
    </w:p>
    <w:p>
      <w:pPr>
        <w:spacing w:after="0" w:line="138" w:lineRule="exact"/>
        <w:rPr>
          <w:sz w:val="20"/>
          <w:szCs w:val="20"/>
          <w:color w:val="auto"/>
        </w:rPr>
      </w:pPr>
    </w:p>
    <w:p>
      <w:pPr>
        <w:jc w:val="both"/>
        <w:ind w:firstLine="523"/>
        <w:spacing w:after="0" w:line="245" w:lineRule="auto"/>
        <w:rPr>
          <w:sz w:val="20"/>
          <w:szCs w:val="20"/>
          <w:color w:val="auto"/>
        </w:rPr>
      </w:pPr>
      <w:r>
        <w:rPr>
          <w:rFonts w:ascii="Times New Roman" w:cs="Times New Roman" w:eastAsia="Times New Roman" w:hAnsi="Times New Roman"/>
          <w:sz w:val="17"/>
          <w:szCs w:val="17"/>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as well as higher interest rates resulting from efforts by central banks to address increased inflation,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1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91" w:lineRule="exact"/>
        <w:rPr>
          <w:sz w:val="20"/>
          <w:szCs w:val="20"/>
          <w:color w:val="auto"/>
        </w:rPr>
      </w:pPr>
    </w:p>
    <w:p>
      <w:pPr>
        <w:jc w:val="both"/>
        <w:ind w:firstLine="523"/>
        <w:spacing w:after="0" w:line="256" w:lineRule="auto"/>
        <w:rPr>
          <w:sz w:val="20"/>
          <w:szCs w:val="20"/>
          <w:color w:val="auto"/>
        </w:rPr>
      </w:pPr>
      <w:r>
        <w:rPr>
          <w:rFonts w:ascii="Times New Roman" w:cs="Times New Roman" w:eastAsia="Times New Roman" w:hAnsi="Times New Roman"/>
          <w:sz w:val="17"/>
          <w:szCs w:val="17"/>
          <w:color w:val="auto"/>
        </w:rPr>
        <w:t>As of December 31, 2022, our total debt was $1,299.2 million in total. Please also refer to “Item 5. Operating and Financial Review and Prospects—B. Liquidity and Capital Resources—Borrowings (Financing Arrangements).”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Our leverage and amounts required to service our debt and leasing obligations could have a significant impact on our operations, including the following:</w:t>
      </w:r>
    </w:p>
    <w:p>
      <w:pPr>
        <w:spacing w:after="0" w:line="130" w:lineRule="exact"/>
        <w:rPr>
          <w:sz w:val="20"/>
          <w:szCs w:val="20"/>
          <w:color w:val="auto"/>
        </w:rPr>
      </w:pPr>
    </w:p>
    <w:p>
      <w:pPr>
        <w:ind w:left="1040" w:right="600" w:hanging="263"/>
        <w:spacing w:after="0" w:line="272"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amortization under our financing arrangements may restrict our ability to pay cash distributions to our unitholders, to manage ongoing business activities and to pursue new acquisitions, investments or capital expenditures;</w:t>
      </w:r>
    </w:p>
    <w:p>
      <w:pPr>
        <w:spacing w:after="0" w:line="108" w:lineRule="exact"/>
        <w:rPr>
          <w:rFonts w:ascii="Times New Roman" w:cs="Times New Roman" w:eastAsia="Times New Roman" w:hAnsi="Times New Roman"/>
          <w:sz w:val="17"/>
          <w:szCs w:val="17"/>
          <w:color w:val="auto"/>
        </w:rPr>
      </w:pPr>
    </w:p>
    <w:p>
      <w:pPr>
        <w:ind w:left="1040" w:right="80" w:hanging="263"/>
        <w:spacing w:after="0" w:line="272"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will have the general effect of reducing our flexibility to react to changing business and economic conditions and, therefore, may pose substantial risks to our business and our unitholders;</w:t>
      </w:r>
    </w:p>
    <w:p>
      <w:pPr>
        <w:spacing w:after="0" w:line="120" w:lineRule="exact"/>
        <w:rPr>
          <w:rFonts w:ascii="Times New Roman" w:cs="Times New Roman" w:eastAsia="Times New Roman" w:hAnsi="Times New Roman"/>
          <w:sz w:val="17"/>
          <w:szCs w:val="17"/>
          <w:color w:val="auto"/>
        </w:rPr>
      </w:pPr>
    </w:p>
    <w:p>
      <w:pPr>
        <w:ind w:left="1040" w:right="40" w:hanging="263"/>
        <w:spacing w:after="0" w:line="272"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we are liquidated, our creditors (senior or, if any, subordinated) and creditors (senior or, if any, subordinated) of our subsidiaries will be entitled to payment in full prior to any distributions to our unitholders; and</w:t>
      </w:r>
    </w:p>
    <w:p>
      <w:pPr>
        <w:spacing w:after="0" w:line="108" w:lineRule="exact"/>
        <w:rPr>
          <w:rFonts w:ascii="Times New Roman" w:cs="Times New Roman" w:eastAsia="Times New Roman" w:hAnsi="Times New Roman"/>
          <w:sz w:val="17"/>
          <w:szCs w:val="17"/>
          <w:color w:val="auto"/>
        </w:rPr>
      </w:pPr>
    </w:p>
    <w:p>
      <w:pPr>
        <w:ind w:left="1040" w:right="20" w:hanging="263"/>
        <w:spacing w:after="0" w:line="272"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additional financing, or to refinance our existing financing arrangements, may be substantially restricted by the existing level of our indebtedness and the restrictions contained in them.</w:t>
      </w:r>
    </w:p>
    <w:p>
      <w:pPr>
        <w:spacing w:after="0" w:line="95"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While our leverage is significant, if future cash flows are insufficient to fund capital expenditures and other expenses or investments, we may need to incur further indebtedness. See “—Risks Related to Our Business and Operations—Since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274"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 w:name="page24"/>
    <w:bookmarkEnd w:id="23"/>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financing arrangements contain, and we expect that any new or amended credit facilities or other financing arrangements we may enter into in the future will contain, restrictive covenants, which may limit our business and financing activities, including our ability to make cash distributions.</w:t>
      </w:r>
    </w:p>
    <w:p>
      <w:pPr>
        <w:spacing w:after="0" w:line="54"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Operating and financial restrictions and covenants under our existing financing arrangements and any new financing arrangements we may enter into in the future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120" w:lineRule="exact"/>
        <w:rPr>
          <w:sz w:val="20"/>
          <w:szCs w:val="20"/>
          <w:color w:val="auto"/>
        </w:rPr>
      </w:pPr>
    </w:p>
    <w:p>
      <w:pPr>
        <w:ind w:left="1040" w:hanging="263"/>
        <w:spacing w:after="0"/>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indebtedness;</w:t>
      </w:r>
    </w:p>
    <w:p>
      <w:pPr>
        <w:spacing w:after="0" w:line="217" w:lineRule="exact"/>
        <w:rPr>
          <w:rFonts w:ascii="Times New Roman" w:cs="Times New Roman" w:eastAsia="Times New Roman" w:hAnsi="Times New Roman"/>
          <w:sz w:val="17"/>
          <w:szCs w:val="17"/>
          <w:color w:val="auto"/>
        </w:rPr>
      </w:pPr>
    </w:p>
    <w:p>
      <w:pPr>
        <w:ind w:left="1040" w:right="280" w:hanging="263"/>
        <w:spacing w:after="0" w:line="272"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charge, pledge or allow our vessels to be encumbered by any maritime or other lien or any other security interest of any kind except in the ordinary course of business;</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flag, class, management or ownership of our vessels;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commercial and technical management of our vessels;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change the beneficial ownership or control of our vessels; and</w:t>
      </w:r>
    </w:p>
    <w:p>
      <w:pPr>
        <w:spacing w:after="0" w:line="205" w:lineRule="exact"/>
        <w:rPr>
          <w:rFonts w:ascii="Times New Roman" w:cs="Times New Roman" w:eastAsia="Times New Roman" w:hAnsi="Times New Roman"/>
          <w:sz w:val="17"/>
          <w:szCs w:val="17"/>
          <w:color w:val="auto"/>
        </w:rPr>
      </w:pPr>
    </w:p>
    <w:p>
      <w:pPr>
        <w:ind w:left="1040" w:right="300" w:hanging="263"/>
        <w:spacing w:after="0" w:line="272"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 our obligations thereunder to any general and administrative costs relating to our vessels, including fees payable under our management agreement.</w:t>
      </w:r>
    </w:p>
    <w:p>
      <w:pPr>
        <w:spacing w:after="0" w:line="133" w:lineRule="exact"/>
        <w:rPr>
          <w:sz w:val="20"/>
          <w:szCs w:val="20"/>
          <w:color w:val="auto"/>
        </w:rPr>
      </w:pPr>
    </w:p>
    <w:p>
      <w:pPr>
        <w:ind w:right="500" w:firstLine="523"/>
        <w:spacing w:after="0" w:line="287" w:lineRule="auto"/>
        <w:rPr>
          <w:sz w:val="20"/>
          <w:szCs w:val="20"/>
          <w:color w:val="auto"/>
        </w:rPr>
      </w:pPr>
      <w:r>
        <w:rPr>
          <w:rFonts w:ascii="Times New Roman" w:cs="Times New Roman" w:eastAsia="Times New Roman" w:hAnsi="Times New Roman"/>
          <w:sz w:val="17"/>
          <w:szCs w:val="17"/>
          <w:color w:val="auto"/>
        </w:rPr>
        <w:t>Our existing financing arrangements also require us to comply with the International Safety Management Code and to maintain valid safety management certificates and documents of compliance at all times. Our financing arrangements require us to comply with certain financial covenants:</w:t>
      </w:r>
    </w:p>
    <w:p>
      <w:pPr>
        <w:spacing w:after="0" w:line="71" w:lineRule="exact"/>
        <w:rPr>
          <w:sz w:val="20"/>
          <w:szCs w:val="20"/>
          <w:color w:val="auto"/>
        </w:rPr>
      </w:pPr>
    </w:p>
    <w:p>
      <w:pPr>
        <w:ind w:left="1040" w:hanging="263"/>
        <w:spacing w:after="0"/>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minimum free consolidated liquidity of at least $0.5 million per collateralized vessel;</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a ratio of EBITDA (as defined in each credit facility) to net interest expense of at least 2.00 to 1.00 on a trailing four quarter basis;</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exceed a specified maximum leverage ratio in the form of a ratio of total net indebtedness to (fair value adjusted) total assets of 0.75; and</w:t>
      </w:r>
    </w:p>
    <w:p>
      <w:pPr>
        <w:spacing w:after="0" w:line="230" w:lineRule="exact"/>
        <w:rPr>
          <w:rFonts w:ascii="Times New Roman" w:cs="Times New Roman" w:eastAsia="Times New Roman" w:hAnsi="Times New Roman"/>
          <w:sz w:val="17"/>
          <w:szCs w:val="17"/>
          <w:color w:val="auto"/>
        </w:rPr>
      </w:pPr>
    </w:p>
    <w:p>
      <w:pPr>
        <w:ind w:left="1040" w:hanging="263"/>
        <w:spacing w:after="0" w:line="304" w:lineRule="auto"/>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125%.</w:t>
      </w:r>
    </w:p>
    <w:p>
      <w:pPr>
        <w:spacing w:after="0" w:line="9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financing arrangements prohibit the payment of distributions that are not in compliance with certain of these financial covenants or security coverage ratios or upon the occurrence of any other event of default.</w:t>
      </w:r>
    </w:p>
    <w:p>
      <w:pPr>
        <w:spacing w:after="0" w:line="83"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Furthermore, the Bonds we issued in July 2022 and October 2021 require us to (a) maintain a pledged Debt Service Reserve Account (the “DSRA”) with a minimum balance €100,000, (b) deposit to the DSRA an amount equal to 50% of any cash disbursements to our unitholders (e.g., dividends) exceeding $20.0 million per annum, capped at 1/3 of the par value of the Bonds outstanding at the time and (c) if our market value adjusted net worth (“MVAN”) falls below $300.0 million, to deposit to the DSRA the difference between the MVAN and $300.0 million (capped at 1/3 of the par value of the Bonds outstanding).</w:t>
      </w:r>
    </w:p>
    <w:p>
      <w:pPr>
        <w:spacing w:after="0" w:line="112" w:lineRule="exact"/>
        <w:rPr>
          <w:sz w:val="20"/>
          <w:szCs w:val="20"/>
          <w:color w:val="auto"/>
        </w:rPr>
      </w:pPr>
    </w:p>
    <w:p>
      <w:pPr>
        <w:jc w:val="both"/>
        <w:ind w:firstLine="523"/>
        <w:spacing w:after="0" w:line="258" w:lineRule="auto"/>
        <w:rPr>
          <w:sz w:val="20"/>
          <w:szCs w:val="20"/>
          <w:color w:val="auto"/>
        </w:rPr>
      </w:pPr>
      <w:r>
        <w:rPr>
          <w:rFonts w:ascii="Times New Roman" w:cs="Times New Roman" w:eastAsia="Times New Roman" w:hAnsi="Times New Roman"/>
          <w:sz w:val="17"/>
          <w:szCs w:val="17"/>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97" w:lineRule="exact"/>
        <w:rPr>
          <w:sz w:val="20"/>
          <w:szCs w:val="20"/>
          <w:color w:val="auto"/>
        </w:rPr>
      </w:pPr>
    </w:p>
    <w:p>
      <w:pPr>
        <w:jc w:val="both"/>
        <w:ind w:firstLine="523"/>
        <w:spacing w:after="0" w:line="231" w:lineRule="auto"/>
        <w:rPr>
          <w:sz w:val="20"/>
          <w:szCs w:val="20"/>
          <w:color w:val="auto"/>
        </w:rPr>
      </w:pPr>
      <w:r>
        <w:rPr>
          <w:rFonts w:ascii="Times New Roman" w:cs="Times New Roman" w:eastAsia="Times New Roman" w:hAnsi="Times New Roman"/>
          <w:sz w:val="17"/>
          <w:szCs w:val="17"/>
          <w:color w:val="auto"/>
        </w:rPr>
        <w:t>Furthermore, any contemplated vessel acquisitions will have to be at levels that do not impair the required ratios described above. Depressed shipping markets, lack of capital in the industry and prolonged overcapacity have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make cash distributions and service or refinance our debt.</w:t>
      </w:r>
    </w:p>
    <w:p>
      <w:pPr>
        <w:spacing w:after="0" w:line="1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b w:val="1"/>
          <w:bCs w:val="1"/>
          <w:color w:val="auto"/>
        </w:rPr>
        <w:t>If we are in breach of any of the terms of our financing arrangements, a significant portion of our obligations may become immediately due and payable. This could affect our ability to execute our business strategy or make cash distributions.</w:t>
      </w:r>
    </w:p>
    <w:p>
      <w:pPr>
        <w:spacing w:after="0" w:line="12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 default under our financing arrangements could result in foreclosure on any of our vessels and other assets secured or a loss of our rights as lessee under such arrangements.</w:t>
      </w:r>
    </w:p>
    <w:p>
      <w:pPr>
        <w:spacing w:after="0" w:line="83" w:lineRule="exact"/>
        <w:rPr>
          <w:sz w:val="20"/>
          <w:szCs w:val="20"/>
          <w:color w:val="auto"/>
        </w:rPr>
      </w:pPr>
    </w:p>
    <w:p>
      <w:pPr>
        <w:jc w:val="both"/>
        <w:ind w:firstLine="523"/>
        <w:spacing w:after="0" w:line="235" w:lineRule="auto"/>
        <w:rPr>
          <w:sz w:val="20"/>
          <w:szCs w:val="20"/>
          <w:color w:val="auto"/>
        </w:rPr>
      </w:pPr>
      <w:r>
        <w:rPr>
          <w:rFonts w:ascii="Times New Roman" w:cs="Times New Roman" w:eastAsia="Times New Roman" w:hAnsi="Times New Roman"/>
          <w:sz w:val="17"/>
          <w:szCs w:val="17"/>
          <w:color w:val="auto"/>
        </w:rPr>
        <w:t>To the extent that cash flows are insufficient to make required service payments under our financing arrangements or asset cover is inadequate due to a deterioration in vessel values, we will need to refinance some or all of the principal outstanding under our financing arrangements, replace it with alternate credit arrangements or provide additional security. We may not be able to refinance or replace our financing arrangements or provide additional security at the time they become due.</w:t>
      </w:r>
    </w:p>
    <w:p>
      <w:pPr>
        <w:spacing w:after="0" w:line="261"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24" w:name="page25"/>
    <w:bookmarkEnd w:id="24"/>
    <w:p>
      <w:pPr>
        <w:jc w:val="both"/>
        <w:ind w:firstLine="523"/>
        <w:spacing w:after="0" w:line="228" w:lineRule="auto"/>
        <w:rPr>
          <w:sz w:val="20"/>
          <w:szCs w:val="20"/>
          <w:color w:val="auto"/>
        </w:rPr>
      </w:pPr>
      <w:r>
        <w:rPr>
          <w:rFonts w:ascii="Times New Roman" w:cs="Times New Roman" w:eastAsia="Times New Roman" w:hAnsi="Times New Roman"/>
          <w:sz w:val="17"/>
          <w:szCs w:val="17"/>
          <w:color w:val="auto"/>
        </w:rPr>
        <w:t>In the event we default under our financing arrangements or we are not able to refinance our existing indebtedness with new financing arrangements on commercially acceptable terms, or if our operating results are not sufficient to service current or future indebtedness, or to make relevant interest, principal or lease repayments if necessary, we may be forced to take actions such as reducing or eliminating distributions,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make cash distributions.</w:t>
      </w:r>
    </w:p>
    <w:p>
      <w:pPr>
        <w:spacing w:after="0" w:line="126"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17"/>
          <w:szCs w:val="17"/>
          <w:color w:val="auto"/>
        </w:rPr>
        <w:t>We may not be able to reach agreement with our financiers to amend the terms of the then existing financing arrangements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Events of default under our financing arrangements include:</w:t>
      </w:r>
    </w:p>
    <w:p>
      <w:pPr>
        <w:spacing w:after="0" w:line="193" w:lineRule="exact"/>
        <w:rPr>
          <w:sz w:val="20"/>
          <w:szCs w:val="20"/>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principal or interest when due;</w:t>
      </w:r>
    </w:p>
    <w:p>
      <w:pPr>
        <w:spacing w:after="0" w:line="205" w:lineRule="exact"/>
        <w:rPr>
          <w:rFonts w:ascii="Times New Roman" w:cs="Times New Roman" w:eastAsia="Times New Roman" w:hAnsi="Times New Roman"/>
          <w:sz w:val="17"/>
          <w:szCs w:val="17"/>
          <w:color w:val="auto"/>
        </w:rPr>
      </w:pPr>
    </w:p>
    <w:p>
      <w:pPr>
        <w:ind w:left="1040" w:hanging="263"/>
        <w:spacing w:after="0" w:line="272"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certain undertakings, negative covenants and financial covenants contained in the financing arrangements, any related security document or guarantee, including failure to maintain unencumbered title to any of the vessel-owning subsidiaries and failure to maintain proper insurance;</w:t>
      </w:r>
    </w:p>
    <w:p>
      <w:pPr>
        <w:spacing w:after="0" w:line="133"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financing arrangements, any related security document or guarantee (other than breaches described in the preceding two bullet points) if, in the opinion of the lenders, such default is capable of remedy and continues unremedied following prior written notice of the lenders for a period of 14 days;</w:t>
      </w:r>
    </w:p>
    <w:p>
      <w:pPr>
        <w:spacing w:after="0" w:line="131" w:lineRule="exact"/>
        <w:rPr>
          <w:rFonts w:ascii="Times New Roman" w:cs="Times New Roman" w:eastAsia="Times New Roman" w:hAnsi="Times New Roman"/>
          <w:sz w:val="17"/>
          <w:szCs w:val="17"/>
          <w:color w:val="auto"/>
        </w:rPr>
      </w:pPr>
    </w:p>
    <w:p>
      <w:pPr>
        <w:ind w:left="1040" w:right="140" w:hanging="263"/>
        <w:spacing w:after="0" w:line="272"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representation, warranty or statement made by us in our financing arrangements or related security document or guarantee or the interest rate swap agreements (if any);</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cross-default of our other indebtedness of $5.0 million or greater;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in the reasonable opinion of the lenders, to pay our debts when due;</w:t>
      </w:r>
    </w:p>
    <w:p>
      <w:pPr>
        <w:spacing w:after="0" w:line="217" w:lineRule="exact"/>
        <w:rPr>
          <w:rFonts w:ascii="Times New Roman" w:cs="Times New Roman" w:eastAsia="Times New Roman" w:hAnsi="Times New Roman"/>
          <w:sz w:val="17"/>
          <w:szCs w:val="17"/>
          <w:color w:val="auto"/>
        </w:rPr>
      </w:pPr>
    </w:p>
    <w:p>
      <w:pPr>
        <w:ind w:left="1040" w:right="140" w:hanging="263"/>
        <w:spacing w:after="0" w:line="272"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form of execution, attachment, arrest, sequestration or distress which has or is reasonably likely to have a Material Adverse Effect (as such term is defined under our financing arrangements);</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insolvency or bankruptcy;</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cessation or suspension of our business or of a material part thereof;</w:t>
      </w:r>
    </w:p>
    <w:p>
      <w:pPr>
        <w:spacing w:after="0" w:line="205" w:lineRule="exact"/>
        <w:rPr>
          <w:rFonts w:ascii="Times New Roman" w:cs="Times New Roman" w:eastAsia="Times New Roman" w:hAnsi="Times New Roman"/>
          <w:sz w:val="17"/>
          <w:szCs w:val="17"/>
          <w:color w:val="auto"/>
        </w:rPr>
      </w:pPr>
    </w:p>
    <w:p>
      <w:pPr>
        <w:ind w:left="1040" w:right="360" w:hanging="263"/>
        <w:spacing w:after="0" w:line="272"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unlawfulness, non-effectiveness or repudiation of any material provision of our financing arrangements, of any of the related finance and guarantee documents;</w:t>
      </w:r>
    </w:p>
    <w:p>
      <w:pPr>
        <w:spacing w:after="0" w:line="10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effectiveness of security documents or guarantee;</w:t>
      </w:r>
    </w:p>
    <w:p>
      <w:pPr>
        <w:spacing w:after="0" w:line="217"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delisting of our common units from the Nasdaq Global Select Market or on any other recognized securities exchange;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invalidity of a security document in any material respect or if any security document ceases to provide a perfected first priority security interest;</w:t>
      </w:r>
    </w:p>
    <w:p>
      <w:pPr>
        <w:spacing w:after="0" w:line="167" w:lineRule="exact"/>
        <w:rPr>
          <w:rFonts w:ascii="Times New Roman" w:cs="Times New Roman" w:eastAsia="Times New Roman" w:hAnsi="Times New Roman"/>
          <w:sz w:val="17"/>
          <w:szCs w:val="17"/>
          <w:color w:val="auto"/>
        </w:rPr>
      </w:pPr>
    </w:p>
    <w:p>
      <w:pPr>
        <w:jc w:val="both"/>
        <w:ind w:left="1040" w:hanging="263"/>
        <w:spacing w:after="0" w:line="304" w:lineRule="auto"/>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key charter parties, such as HMM, Hapag-Lloyd, BP and Cheniere or other charterers we may have from time to time, to comply with the terms of their charters to the extent that we are unable to replace the charter in a manner that meets our obligations under the financing arrangements; or</w:t>
      </w:r>
    </w:p>
    <w:p>
      <w:pPr>
        <w:spacing w:after="0" w:line="97" w:lineRule="exact"/>
        <w:rPr>
          <w:rFonts w:ascii="Times New Roman" w:cs="Times New Roman" w:eastAsia="Times New Roman" w:hAnsi="Times New Roman"/>
          <w:sz w:val="16"/>
          <w:szCs w:val="16"/>
          <w:color w:val="auto"/>
        </w:rPr>
      </w:pPr>
    </w:p>
    <w:p>
      <w:pPr>
        <w:ind w:left="1040" w:hanging="263"/>
        <w:spacing w:after="0" w:line="304" w:lineRule="auto"/>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that occurs or circumstance that arises in light of which our financiers under our financing arrangements reasonably consider that there is a significant risk that we will be unable to discharge our liabilities under our financing arrangements and related security or guarantee documents.</w:t>
      </w:r>
    </w:p>
    <w:p>
      <w:pPr>
        <w:spacing w:after="0" w:line="13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addition, certain dealings in connection with sanctioned countries could trigger a mandatory prepayment event. See “—Regulatory Risks—Our vessels may be chartered or sub-chartered to parties, or call on ports, located in countries that are subject to restrictions and sanctions imposed by the United States, the European Union and other jurisdictions.”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anticipate that any subsequent refinancing of our debt could have similar or more onerous restrictions. Please see “Item 5. Operating and Financial Review and Prospects—B. Liquidity and Capital Resources—Borrowings (Financing Arrangements)” for further information on our existing facilities.</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A significant rise in interests rates could result in increased interest expense.</w:t>
      </w:r>
    </w:p>
    <w:p>
      <w:pPr>
        <w:spacing w:after="0" w:line="20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We are reliant on our ability to obtain required financing to operate and grow our business, including debt financing. As of December 31, 2022, $889.8 million out of our total debt of $1,299.2 million is floating rate debt, which means we pay interest on such debt at a margin on top of LIBOR or its replacement (see “—The phase-out of the London Interbank Offered Rate (LIBOR), or the replacement of LIBOR with a different benchmark rate, may adversely affect interest rates and our cost of capital.” below). Worldwide economies have recently experienced inflationary pressures, with price increases seen across many sectors globally. In response to inflationary pressures, central banks have begun to increase interest rates, which translates into increases in base interest rates that result in an increase to our interest expense on our existing floating rate debt. Efforts by central banks to address rising inflation also result in increases to the interests rates available to us on new debt financing for our operations. If central banks continue to increase interest rates, or interest rates otherwise increase significantly, the increase in base rates and the resulting increase in our existing floating rate interest expense, as well as increases to the interest rates available to us on new debt financing we may pursue, could materially and adversely affect our financial condition and ability to make cash distributions. See “—We have incurred significant indebtedness, which could adversely affect our ability to finance our operations, refinance our existing indebtedness, pursue desirable business opportunities, successfully run our business or make cash distributions.” and “—Risks Inherent in an Investment in Us— We cannot assure you that we will pay any distributions on our units.”</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The phase-out of the London Interbank Offered Rate (LIBOR), or the replacement of LIBOR with a different benchmark rate, may adversely affect interest rates and our cost of capital.</w:t>
      </w:r>
    </w:p>
    <w:p>
      <w:pPr>
        <w:spacing w:after="0" w:line="154"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On July 27, 2017, the UK Financial Conduct Authority (“FCA”) announced that it would phase-out LIBOR by the end of 2021. Pursuant to international, federal, and other regulatory guidance and reform proposals regarding LIBOR, certain LIBOR tenors were discontinued or otherwise became unavailable as benchmark rates at the end of 2021 and LIBOR is expected to be fully discontinued or become unavailable as a benchmark rate by June 2023. In accordance with recommendations from the committee appointed by the U.S. Federal Reserve Board to manage the transition away from LIBOR, U.S. dollar LIBOR is expected to be replaced with Secured Overnight Financing Rate (“SOFR”). Given that SOFR is a secured rate backed by government securities (and therefore does not take into account bank credit risk), it may be lower than other reference rates, including LIBOR. However, SOFR may rise following interest rate increases effected by the United States Federal Reserve (the “U.S. Federal Reserve”) and the U.S. Federal Reserve has recently raised U.S. interest rates in response to rising inflation. Further, as a secured rate backed by government securities, SOFR may be less likely to correlate with the funding costs of financial institutions. As a result, parties may seek to adjust spreads relative to SOFR in underlying contractual arrangements. Therefore, the use of SOFR-based rates may result in interest rates and/or payments that are higher or lower than the rates and payments that we experienced under our credit facilities when interest was based on LIBOR. Alternative reference rates may behave in a similar manner or have other disadvantages or advantages in relation to our indebtedness.</w:t>
      </w:r>
    </w:p>
    <w:p>
      <w:pPr>
        <w:spacing w:after="0" w:line="183"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cannot predict the effect of the potential changes to LIBOR or the establishment and use of alternative rates or benchmarks, which may impact the level of interest payments on the portion of our debt that bears interest at variable rates. As of December 31, 2022, $784.8 million and $105.0 million out of our total debt of $1,299.2 million was based on loan agreements using LIBOR and SOFR as the benchmark rate respectively. Replacement rates could be higher or more volatile than LIBOR prior to its discontinuation. The full impact of the expected transition away from LIBOR is unclear, but these changes could adversely affect our cash flow, financial condition and results of operations.</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REGULATORY RISKS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154"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Certain countries (including certain regions of Ukraine, Russia, Belarus, Cuba, Iran, North Korea and Syria), entities and persons are targeted by economic sanctions and embargoes imposed by the United States, the European Union and other jurisdictions, and a number of those countries, currently North Korea, Iran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 In particular, sanctions recently imposed in relation to the Russian invasion of Ukraine have created significant disruptions in the global economy and in the shipping industry.</w:t>
      </w:r>
    </w:p>
    <w:p>
      <w:pPr>
        <w:spacing w:after="0" w:line="176" w:lineRule="exact"/>
        <w:rPr>
          <w:sz w:val="20"/>
          <w:szCs w:val="20"/>
          <w:color w:val="auto"/>
        </w:rPr>
      </w:pPr>
    </w:p>
    <w:p>
      <w:pPr>
        <w:jc w:val="both"/>
        <w:ind w:firstLine="523"/>
        <w:spacing w:after="0" w:line="265" w:lineRule="auto"/>
        <w:rPr>
          <w:sz w:val="20"/>
          <w:szCs w:val="20"/>
          <w:color w:val="auto"/>
        </w:rPr>
      </w:pPr>
      <w:r>
        <w:rPr>
          <w:rFonts w:ascii="Times New Roman" w:cs="Times New Roman" w:eastAsia="Times New Roman" w:hAnsi="Times New Roman"/>
          <w:sz w:val="16"/>
          <w:szCs w:val="16"/>
          <w:color w:val="auto"/>
        </w:rPr>
        <w:t>While it is difficult to estimate the impact of the conflict and current or future sanctions on our business and financial position, these events and related sanctions could adversely impact our operations. During 2022, economic sanctions were imposed by the United States, the European Union, the United Kingdom and a number of other countries on Russian financial institutions, businesses and individuals, as well as certain regions within the Donbas region of Ukraine. Certain of these sanctions have targeted Russia’s usage of and participation in maritime shipping. For example, the United Kingdom and the EU have introduced export restrictions, which capture the provision of maritime vessels and supplies to or for use in Russia. They have also imposed restrictions on providing financing, financial assistance, technical assistance and brokering or other services that would further the provision of vessels to or for use in Russia, including the provision of maritime navigation goods. Import bans of Russian energy products, such as coal, crude oil and refined petroleum products, and commodities, such as coal, iron, steel, plastics, cement and agricultural products including potash and fertilizer, have also been introduced by a number of jurisdictions. In addition, certain jurisdictions, such as Greece and the United States, have temporarily detained vessels suspected of violating sanctions. Countries, such as Canada, the United Kingdom and the EU, have also broadly prohibited Russian-affiliated vessels from entering their waters and/or ports. In light of the current regulatory and economic environment in the region, certain vessel operators have temporarily suspended shipping routes to and from Russia or have declined to engage in business with Russian-affiliated entities.</w:t>
      </w:r>
    </w:p>
    <w:p>
      <w:pPr>
        <w:spacing w:after="0" w:line="170"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These bans and related trade sanctions have started to change trade patterns across the shipping industry and existing or future restrictions may affect our current or future charters. In the near term, we have seen, and expect to continue to see, increased volatility in the region due to these geopolitical events. In addition, the volatility of market prices for fuel and energy products have increased as a result of related supply disruptions from the war in Ukraine. While uncertainty remains with respect to the ultimate impact of the conflict, we have seen, and anticipate continuing to see, significant changes in trade flows. A reduction or stoppage of grain out of the Black Sea or cargoes from Russia has, and will continue to, negatively impact the markets in those areas. In addition, increased volatility in the price of fuel or energy commodities may increase or decrease the price of fuel used by our vessels and/or demand for LNG or other commodities we transport, each of which could affect our operations and liquidity. Due to their effect on the global market for LNG or other goods that we transport, current or additional sanctions could have a material adverse impact on our cash flows, financial condition and ability to make cash distributions.</w:t>
      </w:r>
    </w:p>
    <w:p>
      <w:pPr>
        <w:spacing w:after="0" w:line="181" w:lineRule="exact"/>
        <w:rPr>
          <w:sz w:val="20"/>
          <w:szCs w:val="20"/>
          <w:color w:val="auto"/>
        </w:rPr>
      </w:pPr>
    </w:p>
    <w:p>
      <w:pPr>
        <w:jc w:val="both"/>
        <w:ind w:firstLine="523"/>
        <w:spacing w:after="0" w:line="264" w:lineRule="auto"/>
        <w:rPr>
          <w:sz w:val="20"/>
          <w:szCs w:val="20"/>
          <w:color w:val="auto"/>
        </w:rPr>
      </w:pPr>
      <w:r>
        <w:rPr>
          <w:rFonts w:ascii="Times New Roman" w:cs="Times New Roman" w:eastAsia="Times New Roman" w:hAnsi="Times New Roman"/>
          <w:sz w:val="16"/>
          <w:szCs w:val="16"/>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Any violation of sanctions or embargoes could result in the our incurring monetary fines, penalties or other sanctions. In addition, certain institutional investors may have investment policies or restrictions that prevent them from holding securities of companies that have contacts with countries or entities or persons within these countries that are identified by the U.S. government as state sponsors of terrorism. We are required to comply with such policies in order to maintain access to charterers and capital. We believe that we are currently in compliance with all applicable economic sanctions laws and regulations. We generally do not do business in sanctions-targeted jurisdictions unless an activity is authorized by the appropriate governmental or other sanctions authority.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without our consent and in violation of their charter agreements. In order to help maintain our compliance with applicable sanctions and embargo laws and regulations, we monitor and review the movement of our vessels, as well as the cargo being transported by our vessels, on a continuing basis. In 2022, none of the vessels in our fleet made any port calls in the Crimea region and the non-government controlled areas of the Donetsk, Kherson, Luhansk and Zaporizhzhia oblasts of Ukraine, Cuba, North Korea, Iran, Russia, Belarus or Syria.</w:t>
      </w:r>
    </w:p>
    <w:p>
      <w:pPr>
        <w:spacing w:after="0" w:line="169" w:lineRule="exact"/>
        <w:rPr>
          <w:sz w:val="20"/>
          <w:szCs w:val="20"/>
          <w:color w:val="auto"/>
        </w:rPr>
      </w:pPr>
    </w:p>
    <w:p>
      <w:pPr>
        <w:jc w:val="both"/>
        <w:ind w:firstLine="523"/>
        <w:spacing w:after="0" w:line="267" w:lineRule="auto"/>
        <w:rPr>
          <w:sz w:val="20"/>
          <w:szCs w:val="20"/>
          <w:color w:val="auto"/>
        </w:rPr>
      </w:pPr>
      <w:r>
        <w:rPr>
          <w:rFonts w:ascii="Times New Roman" w:cs="Times New Roman" w:eastAsia="Times New Roman" w:hAnsi="Times New Roman"/>
          <w:sz w:val="16"/>
          <w:szCs w:val="16"/>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units. As noted above, any such violation or conduct would trigger a mandatory payment event under our financing arrangements. Finally, future expansion of sanctions or the imposition of sanctions on other jurisdictions could prevent our vessels from making any calls at certain ports, which potentially could have a negative impact on our business and results of operations.</w:t>
      </w:r>
    </w:p>
    <w:p>
      <w:pPr>
        <w:spacing w:after="0" w:line="26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 w:name="page28"/>
    <w:bookmarkEnd w:id="27"/>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154"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amendments to existing legislation, applicable to international and national maritime trade is expected over the coming years relating to environmental matters. In particular, due to concerns over the risks associated with climate change, a number of countries and the IMO have adopted, or are considering the adoption of, regulatory frameworks to reduce greenhouse gas emission from ships. These regulatory measures may include the adoption of cap and trade regimes, carbon taxes, increased efficiency standards, operational limitations and incentives or mandates for renewable energy. See “Item 4. Information on the Partnership—B. Business Overview—Regulation” for more information on regulation applicable to our business.</w:t>
      </w:r>
    </w:p>
    <w:p>
      <w:pPr>
        <w:spacing w:after="0" w:line="17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Emissions of greenhouse gases from international shipping currently are not subject to the Kyoto Protocol to the United Nations Framework Convention on Climate Change, or any amendments or successor agreements and the Paris Agreement adopted under the United Nations Framework Convention on Climate Change in December 2015 did not include any restrictions or other measures specific to shipping emissions. However, maritime shipping will be included in the Emission Trading System (ETS) as of 2024 with a phase-in period. It is expected that either shipowners or operators (i.e., charterers) will need to purchase and surrender emission allowances that represent their carbon emission exposure for a specific reporting period as recorded pursuant to Regulation (EU) 2015/757 concerning the monitoring, reporting and verification of carbon dioxide emissions from vessels (the “EU MRV Regulation”). As part of the phased approach shipping companies will be required to surrender 40% of their 2024 emissions in 2025; 70% of their 2025 emissions in 2026; and 100% of their 2026 emissions in 2027. The person or organization responsible for the compliance with the EU ETS will be the shipping company, defined as the shipowner or any other organization or person, such as the manager or the bareboat charterer, that has assumed the responsibility for the operation of the ship from the shipowner. An ETS costs clause is also being mandated which enables the shipping company to contractually pass on costs of ETS allowances to commercial operators. Compliance with the Maritime EU ETS will result in additional compliance and administration costs to properly incorporate the provisions of the Directive into our business routines. Additional EU regulations which are part of the EU’s Fit-for-55, such as the Fuel EU Maritime proposal, could also affect our financial position in terms of compliance and administration costs when they take effect.</w:t>
      </w:r>
    </w:p>
    <w:p>
      <w:pPr>
        <w:spacing w:after="0" w:line="180" w:lineRule="exact"/>
        <w:rPr>
          <w:sz w:val="20"/>
          <w:szCs w:val="20"/>
          <w:color w:val="auto"/>
        </w:rPr>
      </w:pPr>
    </w:p>
    <w:p>
      <w:pPr>
        <w:jc w:val="both"/>
        <w:ind w:firstLine="523"/>
        <w:spacing w:after="0" w:line="265" w:lineRule="auto"/>
        <w:rPr>
          <w:sz w:val="20"/>
          <w:szCs w:val="20"/>
          <w:color w:val="auto"/>
        </w:rPr>
      </w:pPr>
      <w:r>
        <w:rPr>
          <w:rFonts w:ascii="Times New Roman" w:cs="Times New Roman" w:eastAsia="Times New Roman" w:hAnsi="Times New Roman"/>
          <w:sz w:val="16"/>
          <w:szCs w:val="16"/>
          <w:color w:val="auto"/>
        </w:rPr>
        <w:t>The ETS rules and the other regulatory requirements applicable to our operations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Among other things, any climate control legislation, or other regulatory initiatives that aim to reduce greenhouse gases emissions, may include increases in the pricing of greenhouse gas emissions, new reporting regulations (such as, for example, the Corporate Sustainability Reporting Directive, which will apply from 2024),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vessels prior to the end of the their currently-anticipated useful lives.</w:t>
      </w:r>
    </w:p>
    <w:p>
      <w:pPr>
        <w:spacing w:after="0" w:line="167"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76"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In addition, in response to increased freight rates for containerships that occurred earlier in the COVID-19 pandemic, legislation has been proposed in the United States that could limit or eliminate antitrust exemptions for certain ocean-going containerships, which could negatively affect existing vessel-sharing alliances in which our charterers participate. If stricter laws or regulations governing the shipping industry are enacted, including those governing environmental harm, marine accidents or competition rules, it could limit our operations or our ability to do business and could have a material adverse effect on our business, financial condition, operating results and ability to make cash distributions and to service or refinance our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with safety and other vessel requirements imposed by classification societies may be costly and could reduce our net cash flows and net income.</w:t>
      </w:r>
    </w:p>
    <w:p>
      <w:pPr>
        <w:spacing w:after="0" w:line="221"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74"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 w:name="page29"/>
    <w:bookmarkEnd w:id="28"/>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If any vessel does not maintain its class or fails any annual, intermediate or special survey, the vessel will be unable to maintain insurance arrangements and trade between ports and will be unemployable, which could have a material adverse effect on our business, results of operations, cash flows, financial condition and ability to make cash distributions and to service or refinance our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Increased inspection procedures and tighter import and export controls could increase costs and disrupt our business.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smuggling of drugs or other contraband onto our vessels may lead to governmental claims against us.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154"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efficient operation of our business is dependent on information technology systems and networks, which are provided by our Managers.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Most recently, the conflict between Russia and Ukraine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It is difficult to assess the likelihood of such threat and any potential impact at this time.</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We could be adversely affected by violations of the U.S. Foreign Corrupt Practices Act, the U.K. Bribery Act and anti-corruption laws in other applicable jurisdictions.</w:t>
      </w:r>
    </w:p>
    <w:p>
      <w:pPr>
        <w:spacing w:after="0" w:line="154"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an international shipping company, we have operated and may operate in countries known to have a reputation for corruption. The U.S. Foreign Corrupt Practices Act of 1977 (the “FCPA”) and other anti-corruption laws and regulations in applicable jurisdictions generally prohibit companies registered with the U.S. Securities and Exchange Commission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anti-corruption policy, may not adequately prevent or detect possible violations under applicable anti-bribery and anti-corruption legislation.</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 We anticipate that we will continue to incur incremental general and administrative expenses as a publicly traded limited partnership taxed as a corporation.</w:t>
      </w:r>
    </w:p>
    <w:p>
      <w:pPr>
        <w:spacing w:after="0" w:line="160"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176"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7"/>
          <w:szCs w:val="17"/>
          <w:color w:val="auto"/>
        </w:rPr>
        <w:t>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RISKS INHERENT IN AN INVESTMENT IN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cannot assure you that we will pay any distributions on our units.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board of directors determines our cash distribution policy and the level of our cash distributions. Generally, our board of directors seeks to maintain a balance between the level of reserves it makes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debt, the level of our capital expenditures, our ability to pursue accretive transactions, our financial condition, results of operations, prospects and applicable provisions of Marshall Islands law.</w:t>
      </w:r>
    </w:p>
    <w:p>
      <w:pPr>
        <w:spacing w:after="0" w:line="176"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We may not have sufficient cash available each quarter to pay a minimum quarterly distribution on our common units following the payment of fees and expenses and the establishment by our board of directors of cash reserves.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76"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and asset valuations. Our distribution policy may be changed at any time, and from time to time, by our board of directors.</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light of the factors described above and elsewhere in this Annual Report, there can be no assurance that we will pay any distributions on our units.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Negative media coverage and public and judicial scrutiny relating to Mr. Evangelos M. Marinakis may adversely affect our reputation and operations, investor confidence and the trading price of our common units.</w:t>
      </w:r>
    </w:p>
    <w:p>
      <w:pPr>
        <w:spacing w:after="0" w:line="15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Mr. Evangelos M. Marinakis is the chairman of Capital Maritime, our sponsor. In addition, as of April 17, 2023, the Marinakis family, including Mr. Evangelos M. Marinakis, may be deemed to beneficially own a 30.2% interest in us, excluding treasury units of 721,347, through its beneficial ownership of, among other entities, Capital Maritime. Furthermore, Mr. Miltiadis E. Marinakis, Mr. Evangelos M. Marinakis’s son, is the owner of Capital GP L.L.C., our General Partner and Capital Gas Corp.</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Mr. Evangelos M. Marinakis holds significant other interests in Greece and abroad. Among other things, Mr. Marinakis is the principal owner of Olympiacos, a Greek professional football team, and the Nottingham Forest Football Club in England. Mr. Marinakis also owns the Greek media company Alter Ego Media S.A. Furthermore, Mr. Marinakis is a member of the Piraeus city council.</w:t>
      </w:r>
    </w:p>
    <w:p>
      <w:pPr>
        <w:spacing w:after="0" w:line="16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Mr. Marinakis has been the subject of intense and at times negative media scrutiny in Greece. 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control of our General Partner may be transferred to a third party without unitholder consent.</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General Partner is a limited liability company initially formed and controlled by Capital Maritime as sole member. In April 2019, Capital Maritime transferred all membership interests in our General Partner to Mr. Miltiadis E. Marinakis.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partnership agreement does not restrict the ability of the member or members from time to time of our General Partner from transferring control of our General Partner or its assets to a third party, whether in a merger, sale of all membership interests or sale of all or substantially all of its assets, without the consent of our unitholders.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1" w:name="page32"/>
    <w:bookmarkEnd w:id="31"/>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Please read “—Risks Related to our Business and Operations—We depend on our General Partner, a private company under the ownership of Mr. Miltiadis E. Marinakis, for the day-to-day management of our affairs.”</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Our General Partner, which may have conflicts of interest, has limited fiduciary and contractual duties, which may permit it to favor its own interests or the interest of its affiliates or related persons to the detriment of other unitholders.</w:t>
      </w:r>
    </w:p>
    <w:p>
      <w:pPr>
        <w:spacing w:after="0" w:line="15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General Partner is in charge of our day-to-day affairs consistent with policies and procedures adopted by, and subject to the direction of, our board of directors.</w:t>
      </w:r>
    </w:p>
    <w:p>
      <w:pPr>
        <w:spacing w:after="0" w:line="158"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Our General Partner and our directors have a fiduciary duty to manage us in a manner beneficial to us and our unitholders. However, this duty is limited under our partnership agreement. Please see “—Our partnership agreement limits our General Partner’s and our directors’ fiduciary duties to our unitholders and restricts the remedies available to unitholders for actions taken by our General Partner or our directors.” In addition, Mr. Kalogiratos who is an officer of our General Partner and a director of the Partnership, serves also as officer and director of Capital Maritime, and as such has fiduciary duties to Capital Maritime that may cause him to pursue business strategies that disproportionately benefit Capital Maritime or which otherwise are not in the best interests of us or our unitholders. Conflicts of interest may arise between Capital Maritime, our General Partner and their affiliates, on the one hand, and us and our unitholders, on the other hand. As a result of these conflicts, the officers of our General Partner and Capital Maritime may favor their own interests over the interests of our unitholders.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These conflicts include, among others, the following situations:</w:t>
      </w:r>
    </w:p>
    <w:p>
      <w:pPr>
        <w:spacing w:after="0" w:line="205" w:lineRule="exact"/>
        <w:rPr>
          <w:sz w:val="20"/>
          <w:szCs w:val="20"/>
          <w:color w:val="auto"/>
        </w:rPr>
      </w:pPr>
    </w:p>
    <w:p>
      <w:pPr>
        <w:jc w:val="both"/>
        <w:ind w:left="1040" w:hanging="263"/>
        <w:spacing w:after="0" w:line="259"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our partnership agreement nor any other agreement requires our General Partner or its affiliates to pursue a business strategy that favors us or utilizes our assets, and Capital Maritime’s officers and directors in their capacity as such have a fiduciary duty to make decisions in the best interests of the shareholders of Capital Maritime, which may be contrary to our interests;</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4"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174"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68" w:lineRule="exact"/>
        <w:rPr>
          <w:rFonts w:ascii="Times New Roman" w:cs="Times New Roman" w:eastAsia="Times New Roman" w:hAnsi="Times New Roman"/>
          <w:sz w:val="17"/>
          <w:szCs w:val="17"/>
          <w:color w:val="auto"/>
        </w:rPr>
      </w:pPr>
    </w:p>
    <w:p>
      <w:pPr>
        <w:ind w:left="1040" w:right="160" w:hanging="263"/>
        <w:spacing w:after="0" w:line="272"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is entitled to reimbursement of all reasonable costs incurred by it and its affiliates for our benefit;</w:t>
      </w:r>
    </w:p>
    <w:p>
      <w:pPr>
        <w:spacing w:after="0" w:line="205" w:lineRule="exact"/>
        <w:rPr>
          <w:rFonts w:ascii="Times New Roman" w:cs="Times New Roman" w:eastAsia="Times New Roman" w:hAnsi="Times New Roman"/>
          <w:sz w:val="17"/>
          <w:szCs w:val="17"/>
          <w:color w:val="auto"/>
        </w:rPr>
      </w:pPr>
    </w:p>
    <w:p>
      <w:pPr>
        <w:ind w:left="1040" w:right="120" w:hanging="263"/>
        <w:spacing w:after="0" w:line="272"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may exercise its right to call and purchase our outstanding units if it and its affiliates own more than 90% of our common units.</w:t>
      </w:r>
    </w:p>
    <w:p>
      <w:pPr>
        <w:spacing w:after="0" w:line="205" w:lineRule="exact"/>
        <w:rPr>
          <w:sz w:val="20"/>
          <w:szCs w:val="20"/>
          <w:color w:val="auto"/>
        </w:rPr>
      </w:pPr>
    </w:p>
    <w:p>
      <w:pPr>
        <w:ind w:right="360" w:firstLine="523"/>
        <w:spacing w:after="0" w:line="272" w:lineRule="auto"/>
        <w:rPr>
          <w:sz w:val="20"/>
          <w:szCs w:val="20"/>
          <w:color w:val="auto"/>
        </w:rPr>
      </w:pPr>
      <w:r>
        <w:rPr>
          <w:rFonts w:ascii="Times New Roman" w:cs="Times New Roman" w:eastAsia="Times New Roman" w:hAnsi="Times New Roman"/>
          <w:sz w:val="17"/>
          <w:szCs w:val="17"/>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Affiliates of our General Partner may favor their own interests in any vote by our unitholders.</w:t>
      </w:r>
    </w:p>
    <w:p>
      <w:pPr>
        <w:spacing w:after="0" w:line="209" w:lineRule="exact"/>
        <w:rPr>
          <w:sz w:val="20"/>
          <w:szCs w:val="20"/>
          <w:color w:val="auto"/>
        </w:rPr>
      </w:pPr>
    </w:p>
    <w:p>
      <w:pPr>
        <w:ind w:right="400" w:firstLine="523"/>
        <w:spacing w:after="0" w:line="272" w:lineRule="auto"/>
        <w:rPr>
          <w:sz w:val="20"/>
          <w:szCs w:val="20"/>
          <w:color w:val="auto"/>
        </w:rPr>
      </w:pPr>
      <w:r>
        <w:rPr>
          <w:rFonts w:ascii="Times New Roman" w:cs="Times New Roman" w:eastAsia="Times New Roman" w:hAnsi="Times New Roman"/>
          <w:sz w:val="17"/>
          <w:szCs w:val="17"/>
          <w:color w:val="auto"/>
        </w:rPr>
        <w:t>Under the terms of our partnership agreement, the affirmative vote of a majority of common units is required in order to reach certain decisions or actions, including:</w:t>
      </w:r>
    </w:p>
    <w:p>
      <w:pPr>
        <w:spacing w:after="0" w:line="158" w:lineRule="exact"/>
        <w:rPr>
          <w:sz w:val="20"/>
          <w:szCs w:val="20"/>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definition of available cash, operating surplus and adjusted operating surplus;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the obligation to hold an annual general meeting;</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removal of any appointed director for cause;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of directors to cause us to sell, exchange or otherwise dispose of all or substantially all of our assets;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General Partner;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a successor General Partner;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dissolution of the partnership;</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to the quorum requirements;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merger or consolidation; and</w:t>
      </w:r>
    </w:p>
    <w:p>
      <w:pPr>
        <w:spacing w:after="0" w:line="205" w:lineRule="exact"/>
        <w:rPr>
          <w:rFonts w:ascii="Times New Roman" w:cs="Times New Roman" w:eastAsia="Times New Roman" w:hAnsi="Times New Roman"/>
          <w:sz w:val="17"/>
          <w:szCs w:val="17"/>
          <w:color w:val="auto"/>
        </w:rPr>
      </w:pPr>
    </w:p>
    <w:p>
      <w:pPr>
        <w:jc w:val="both"/>
        <w:ind w:left="1040" w:hanging="263"/>
        <w:spacing w:after="0" w:line="252" w:lineRule="auto"/>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9" w:right="339" w:bottom="399" w:gutter="0" w:footer="0" w:header="0"/>
        </w:sectPr>
      </w:pPr>
    </w:p>
    <w:bookmarkStart w:id="32" w:name="page33"/>
    <w:bookmarkEnd w:id="32"/>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 addition, an affirmative vote of the holders of at least two thirds of the outstanding units, including any units owned by our General Partner and its affiliates, is required to remove the General Partner.</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Capital Maritime and its affiliates are not subject to the limitations on voting rights imposed on our other limited partners and would be attributed their pro rata share of any voting rights reallocated as a result of such limitations.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Accordingly, Capital Maritime and its affiliates may favor their own interests or the interests of our General Partner in any vote by our unitholders. These considerations may significantly impact any vote under the terms of our partnership agreement and may significantly affect your rights under our partnership agreement.</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Please also read “—Unitholders have limited voting rights and our partnership agreement restricts the voting rights of unitholders owning 5% or more of our units ” for information on additional restrictions imposed by our partnership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Maritime and its affiliates may compete with us.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omnibus agreement that we and Capital Maritime have entered into imposes certain mutual restrictions on the acquisition, ownership and operations, and provides for certain rights of first refusal in respect, of product and crude oil tankers, but it does not apply to LNG, container and drybulk vessels and other shipping markets. The omnibus agreement however contains significant exceptions. Accordingly, Capital Maritime and its controlled affiliates have significant ability to compete with us, which could harm our business. Please read “Item 7. Major Unitholders and Related Party Transactions—B. Related-Party Transactions” for further information.</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We currently do not have any officers and rely, and expect to continue to rely, solely on officers of our General Partner and/or our Managers, who face conflicts in the allocation of their time to our business.</w:t>
      </w:r>
    </w:p>
    <w:p>
      <w:pPr>
        <w:spacing w:after="0" w:line="15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board of directors has not exercised its power to appoint officers of the Partnership to date, and, as a result, we rely, and expect to continue to rely, solely on the officers of our General Partner, who are not required to work full-time on our affairs and who also work for Capital Maritime and/or its affiliates.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For example, our General Partner’s Chief Executive Officer, Chief Financial Officer and Chief Commercial Officer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As a result, there could be material competition for the time and effort of the officers of our General Partner who also provide services to Capital Maritime, our Managers and/or their respective affiliates, which could have a material adverse effect on our business, financial condition, results of operations, cash flows and ability to make cash distributions and service or refinance our debt.</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5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158" w:lineRule="exact"/>
        <w:rPr>
          <w:sz w:val="20"/>
          <w:szCs w:val="20"/>
          <w:color w:val="auto"/>
        </w:rPr>
      </w:pPr>
    </w:p>
    <w:p>
      <w:pPr>
        <w:jc w:val="both"/>
        <w:ind w:left="1040" w:hanging="263"/>
        <w:spacing w:after="0" w:line="249"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181" w:lineRule="exact"/>
        <w:rPr>
          <w:rFonts w:ascii="Times New Roman" w:cs="Times New Roman" w:eastAsia="Times New Roman" w:hAnsi="Times New Roman"/>
          <w:sz w:val="17"/>
          <w:szCs w:val="17"/>
          <w:color w:val="auto"/>
        </w:rPr>
      </w:pPr>
    </w:p>
    <w:p>
      <w:pPr>
        <w:ind w:left="1040" w:right="120" w:hanging="263"/>
        <w:spacing w:after="0" w:line="272"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our General Partner and our directors are entitled to make other decisions in “good faith” if they reasonably believe that the decision is in our best interests;</w:t>
      </w:r>
    </w:p>
    <w:p>
      <w:pPr>
        <w:spacing w:after="0" w:line="158" w:lineRule="exact"/>
        <w:rPr>
          <w:rFonts w:ascii="Times New Roman" w:cs="Times New Roman" w:eastAsia="Times New Roman" w:hAnsi="Times New Roman"/>
          <w:sz w:val="17"/>
          <w:szCs w:val="17"/>
          <w:color w:val="auto"/>
        </w:rPr>
      </w:pPr>
    </w:p>
    <w:p>
      <w:pPr>
        <w:jc w:val="both"/>
        <w:ind w:left="1040" w:hanging="263"/>
        <w:spacing w:after="0" w:line="252"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176"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ind w:right="180" w:firstLine="523"/>
        <w:spacing w:after="0" w:line="272" w:lineRule="auto"/>
        <w:rPr>
          <w:sz w:val="20"/>
          <w:szCs w:val="20"/>
          <w:color w:val="auto"/>
        </w:rPr>
      </w:pPr>
      <w:r>
        <w:rPr>
          <w:rFonts w:ascii="Times New Roman" w:cs="Times New Roman" w:eastAsia="Times New Roman" w:hAnsi="Times New Roman"/>
          <w:sz w:val="17"/>
          <w:szCs w:val="17"/>
          <w:color w:val="auto"/>
        </w:rPr>
        <w:t>In order to become a limited partner of our partnership, a unitholder is required to agree to be bound by the provisions in the partnership agreement, including the provisions discussed above. Please read “Item 7. Major Unitholders and Related-Party Transactions—B. Related-Party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Unitholders have limited voting rights and our partnership agreement restricts the voting rights of unitholders owning 5% or more of our units.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Holders of units have only limited voting rights on matters affecting our business.</w:t>
      </w:r>
    </w:p>
    <w:p>
      <w:pPr>
        <w:spacing w:after="0" w:line="205"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Currently our board has seven members, of which five were elected by common unitholders.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unitholders by the affirmative vote of the holders of a majority of the outstanding common units.</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two thirds of the outstanding units, including any units owned by our General Partner and its affiliates, and a majority vote of our board of directors. As of April 17, 2023, 14,266,542 common units are owned by public unitholders, representing 69.8% of our common units excluding treasury units of 721,347.</w:t>
      </w:r>
    </w:p>
    <w:p>
      <w:pPr>
        <w:spacing w:after="0" w:line="176"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an affiliate of our General Partner, Capital Maritime is not subject to such limitation and will be attributed its pro rata share of any units reallocated as a result of such limitation. Further, this limitation does not apply to unitholders who acquire more than 5% of any class of units then outstanding with the prior approval of our board of directors.</w:t>
      </w:r>
    </w:p>
    <w:p>
      <w:pPr>
        <w:spacing w:after="0" w:line="181"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As of April 17, 2023, based on 20,449,169 units issued and outstanding (excluding treasury units of 721,347 and including 348,570 general partner units), the Marinakis family, including Mr. Miltiadis E. Marinakis, who beneficially owns 100% of our General Partner and Capital Gas Corp., and Evangelos M. Marinakis, the chairman of Capital Maritime, may be deemed to beneficially own a 30.2% interest in us, through:</w:t>
      </w:r>
    </w:p>
    <w:p>
      <w:pPr>
        <w:spacing w:after="0" w:line="169" w:lineRule="exact"/>
        <w:rPr>
          <w:sz w:val="20"/>
          <w:szCs w:val="20"/>
          <w:color w:val="auto"/>
        </w:rPr>
      </w:pPr>
    </w:p>
    <w:p>
      <w:pPr>
        <w:ind w:left="780" w:hanging="254"/>
        <w:spacing w:after="0"/>
        <w:tabs>
          <w:tab w:leader="none" w:pos="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Maritime, which beneficially owns 4,680,211 common units, representing 22.9% of the outstanding units;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Gas Corp., which beneficially owns 1,153,846 common units, representing 5.6% of the outstanding units; and</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 which may be deemed to beneficially own 348,570 general partner units representing a 1.7% interest in us.</w:t>
      </w:r>
    </w:p>
    <w:p>
      <w:pPr>
        <w:spacing w:after="0" w:line="200" w:lineRule="exact"/>
        <w:rPr>
          <w:sz w:val="20"/>
          <w:szCs w:val="20"/>
          <w:color w:val="auto"/>
        </w:rPr>
      </w:pPr>
    </w:p>
    <w:p>
      <w:pPr>
        <w:spacing w:after="0" w:line="202"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17"/>
          <w:szCs w:val="17"/>
          <w:b w:val="1"/>
          <w:bCs w:val="1"/>
          <w:color w:val="auto"/>
        </w:rPr>
        <w:t>Our partnership agreement contains provisions that may have the effect of discouraging a person or group from attempting to remove our current management or our General Partner.</w:t>
      </w:r>
    </w:p>
    <w:p>
      <w:pPr>
        <w:spacing w:after="0" w:line="154" w:lineRule="exact"/>
        <w:rPr>
          <w:sz w:val="20"/>
          <w:szCs w:val="20"/>
          <w:color w:val="auto"/>
        </w:rPr>
      </w:pPr>
    </w:p>
    <w:p>
      <w:pPr>
        <w:ind w:right="140" w:firstLine="523"/>
        <w:spacing w:after="0" w:line="272" w:lineRule="auto"/>
        <w:rPr>
          <w:sz w:val="20"/>
          <w:szCs w:val="20"/>
          <w:color w:val="auto"/>
        </w:rPr>
      </w:pPr>
      <w:r>
        <w:rPr>
          <w:rFonts w:ascii="Times New Roman" w:cs="Times New Roman" w:eastAsia="Times New Roman" w:hAnsi="Times New Roman"/>
          <w:sz w:val="17"/>
          <w:szCs w:val="17"/>
          <w:color w:val="auto"/>
        </w:rPr>
        <w:t>Our partnership agreement contains provisions that may have the effect of discouraging a person or group from attempting to remove our current management or our General Partner:</w:t>
      </w:r>
    </w:p>
    <w:p>
      <w:pPr>
        <w:spacing w:after="0" w:line="158" w:lineRule="exact"/>
        <w:rPr>
          <w:sz w:val="20"/>
          <w:szCs w:val="20"/>
          <w:color w:val="auto"/>
        </w:rPr>
      </w:pPr>
    </w:p>
    <w:p>
      <w:pPr>
        <w:jc w:val="both"/>
        <w:ind w:left="780" w:hanging="254"/>
        <w:spacing w:after="0" w:line="252" w:lineRule="auto"/>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unitholders will be unable to remove our General Partner without its consent so long as our General Partner and its affiliates or related persons own sufficient units to be able to prevent such removal. The vote of the holders of at least two thirds of all outstanding units voting together as a single class and a majority vote of our board of directors is required to remove the General Partner. As of April 17, 2023, based on a total of 20,449,169 units issued and outstanding (excluding treasury units of 721,347 and including 348,570 general partner units), the Marinakis family, including Mr. Miltiadis E. Marinakis and Evangelos M. Marinakis, the chairman of Capital Maritime, may be deemed to beneficially own a 30.2% interest in us;</w:t>
      </w:r>
    </w:p>
    <w:p>
      <w:pPr>
        <w:spacing w:after="0" w:line="176" w:lineRule="exact"/>
        <w:rPr>
          <w:rFonts w:ascii="Times New Roman" w:cs="Times New Roman" w:eastAsia="Times New Roman" w:hAnsi="Times New Roman"/>
          <w:sz w:val="17"/>
          <w:szCs w:val="17"/>
          <w:color w:val="auto"/>
        </w:rPr>
      </w:pPr>
    </w:p>
    <w:p>
      <w:pPr>
        <w:ind w:left="780" w:right="660" w:hanging="254"/>
        <w:spacing w:after="0" w:line="272" w:lineRule="auto"/>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unitholders elect five of the eight members of our board of directors. Our General Partner in its sole discretion has the right to appoint the remaining three directors;</w:t>
      </w:r>
    </w:p>
    <w:p>
      <w:pPr>
        <w:spacing w:after="0" w:line="158" w:lineRule="exact"/>
        <w:rPr>
          <w:rFonts w:ascii="Times New Roman" w:cs="Times New Roman" w:eastAsia="Times New Roman" w:hAnsi="Times New Roman"/>
          <w:sz w:val="17"/>
          <w:szCs w:val="17"/>
          <w:color w:val="auto"/>
        </w:rPr>
      </w:pPr>
    </w:p>
    <w:p>
      <w:pPr>
        <w:ind w:left="780" w:hanging="254"/>
        <w:spacing w:after="0" w:line="272" w:lineRule="auto"/>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283"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left="780" w:hanging="254"/>
        <w:spacing w:after="0" w:line="272" w:lineRule="auto"/>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158" w:lineRule="exact"/>
        <w:rPr>
          <w:rFonts w:ascii="Times New Roman" w:cs="Times New Roman" w:eastAsia="Times New Roman" w:hAnsi="Times New Roman"/>
          <w:sz w:val="17"/>
          <w:szCs w:val="17"/>
          <w:color w:val="auto"/>
        </w:rPr>
      </w:pPr>
    </w:p>
    <w:p>
      <w:pPr>
        <w:ind w:left="780" w:right="400" w:hanging="254"/>
        <w:spacing w:after="0" w:line="272" w:lineRule="auto"/>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Unitholders have limited voting rights, as described under “—Unitholders have limited voting rights and our partnership agreement restricts the voting rights of unitholders owning 5% or more of our units”; and</w:t>
      </w:r>
    </w:p>
    <w:p>
      <w:pPr>
        <w:spacing w:after="0" w:line="158"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latitude in issuing equity securities without unitholder approval.</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One effect of these provisions may be to diminish the price at which our units will trade.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General Partner has a limited call right that may require unitholders to sell your units at an undesirable time or price.</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defined in our partnership agreement). As a result, unitholders may be required to sell their units at an undesirable time or price and may not receive any return on their investment. Unitholders may also incur a tax liability upon a sale of their units.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Our common units are equity securities and are subordinated to our existing and future indebtedness and will be subject to prior distribution and liquidation rights of any preferred units we may issue in the future.</w:t>
      </w:r>
    </w:p>
    <w:p>
      <w:pPr>
        <w:spacing w:after="0" w:line="154"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preferred units we may issue in the future. Our board of directors is authorized to issue additional classes or series of preferred units without the approval or consent of the holders of our common units. Any actual or possible reduction in the amount of distributions made on our common units could materially and adversely affect the market price of the common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sales of our common units, or the issuance of preferred units, debt securities or warrants, could cause the market price of our common units to decline.</w:t>
      </w:r>
    </w:p>
    <w:p>
      <w:pPr>
        <w:spacing w:after="0" w:line="221"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such equity securities.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Since our initial public offering, we conducted a number of issuances of common and preferred units, and we may engage in additional such issuances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issuance by us of additional units or other equity securities of equal or senior rank may have the following effects:</w:t>
      </w:r>
    </w:p>
    <w:p>
      <w:pPr>
        <w:spacing w:after="0" w:line="205" w:lineRule="exact"/>
        <w:rPr>
          <w:sz w:val="20"/>
          <w:szCs w:val="20"/>
          <w:color w:val="auto"/>
        </w:rPr>
      </w:pPr>
    </w:p>
    <w:p>
      <w:pPr>
        <w:ind w:left="1040" w:hanging="263"/>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unitholders’ proportionate ownership interest in us will decrease;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available for distribution on each unit may decrease;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voting power of each previously outstanding unit may be diminished;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the units may decline.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 may not have limited liability if a court finds that unitholder action constitutes control of our business.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“The Partnership Agreement—Limited Liability” in Exhibit 2.1 to this Annual Report for a more detailed discussion of the implications of the limitations on liability to a unitholder.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can borrow money to pay distributions or buy back our units, which would reduce the amount of credit available to operate our business.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 Operating and Financial Review and Prospects—B. Liquidity and Capital Resources—Borrowings (Financing Arrangements)”.</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Increases in interest rates may cause the market price of our units to decline.</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An increase in interest rates may cause a corresponding decline in demand for equity investments in general, and in particular, for yield-based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Unitholders may have liability to repay distributions.</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Our organization as a limited partnership under the laws of the Republic of the Marshall Islands may limit the ability of our unitholders to protect their interests.</w:t>
      </w:r>
    </w:p>
    <w:p>
      <w:pPr>
        <w:spacing w:after="0" w:line="154"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As a Marshall Islands limited partnership with principal executive offices in Greece and having subsidiaries in the Marshall Islands and other offshore jurisdictions such as Liberia, our operations may be subject to economic substance requirements, which could harm our business.</w:t>
      </w:r>
    </w:p>
    <w:p>
      <w:pPr>
        <w:spacing w:after="0" w:line="154"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We are a Marshall Islands limited partnership with principal executive offices in Greece. Our subsidiaries are organized in the Marshall Islands, Liberia and Cyprus. The Marshall Islands has enacted economic substance regulations with which we may be obligated to comply. Regulations adopted in the Marshall Islands require certain entities that carry out particular activities to comply with an economic substance test whereby the entity must show that it (i) is directed and managed in the Marshall Islands in relation to that relevant activity, (ii) carries out core income-generating activity in relation to that relevant activity in the Marshall Islands (although it is being understood and acknowledged by the regulators that income-generated activities for shipping companies will generally occur in international waters) and (iii) having regard to the level of relevant activity carried out in the Marshall Islands has (a) an adequate amount of expenditures in the Marshall Islands, (b) adequate physical presence in the Marshall Islands and (c) an adequate number of qualified employees in the Marshall Islands.</w:t>
      </w:r>
    </w:p>
    <w:p>
      <w:pPr>
        <w:spacing w:after="0" w:line="178"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6"/>
          <w:szCs w:val="16"/>
          <w:color w:val="auto"/>
        </w:rPr>
        <w:t>The Council of the European Union (the “Council”), routinely publishes a list of “non-cooperative jurisdictions” for tax purposes, which includes countries that the Council believes need to improve their legal framework and to work towards compliance with international standards in taxation. On February 14, 2023, the Republic of the Marshall Islands, among others, was placed by the EU on the list of non-cooperative jurisdictions for lacking in the enforcement of economic substance requirements. The Marshall Islands has stated that it is of the opinion that it has met its commitments to the Council’s code of conduct group thus far, and the Marshall Islands has confirmed it will continue to work closely with the EU and the Council’s code of conduct group to address any technical concerns of the EU member states. EU member states have agreed upon a set of measures, which they can choose to apply against the listed countries, including increased monitoring and audits, withholding taxes, and non-deductibility of costs, and although we are not currently aware of any such measures being adopted they can be adopted by one or more EU members states in the future. The European Commission has stated it will continue to support member states’ efforts to develop a more coordinated approach to sanctions for the listed countries. EU legislation prohibits certain EU funds from being channeled or transited through entities in non-cooperative jurisdictions.</w:t>
      </w:r>
    </w:p>
    <w:p>
      <w:pPr>
        <w:spacing w:after="0" w:line="16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do not know how long the Marshall Islands will remain on the non-cooperative list; what actions the Marshall Islands may take, if any, to remove itself from the list; how quickly the EU would react to any changes in legislation of the Marshall Islands; or how EU banks or other counterparties will react while we or our subsidiaries remain as entities organized and existing under the laws of the Marshall Islands. The effect of the EU list of non-cooperative jurisdictions, and any noncompliance by us with legislation adopted by the Marshall Islands to achieve removal from the list, could have a material adverse effect on our business, financial condition and operating results.</w:t>
      </w:r>
    </w:p>
    <w:p>
      <w:pPr>
        <w:spacing w:after="0" w:line="176"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addition, certain jurisdictions have enacted or may enact economic substance laws and regulations with which we may be obligated to comply. If we fail to comply with our obligations under any such laws and regulations, including the Marshall Islands regulations, we could be subject to financial penalties and disclosure of information to foreign tax officials, or could be struck from the register of companies, in related jurisdictions. Any of the foregoing could be disruptive to our business and could have a material adverse effect on our business, financial condition and operating results.</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It may not be possible for investors to enforce U.S. judgments against us.</w:t>
      </w:r>
    </w:p>
    <w:p>
      <w:pPr>
        <w:spacing w:after="0" w:line="20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7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color w:val="auto"/>
        </w:rPr>
        <w:t>As a “foreign private issuer” and a limited partnership, we are exempt from certain otherwise applicable SEC and NASDAQ requirements, which may result in less protection than is accorded to investors under rules applicable to domestic U.S. issuers.</w:t>
      </w:r>
    </w:p>
    <w:p>
      <w:pPr>
        <w:spacing w:after="0" w:line="154" w:lineRule="exact"/>
        <w:rPr>
          <w:sz w:val="20"/>
          <w:szCs w:val="20"/>
          <w:color w:val="auto"/>
        </w:rPr>
      </w:pPr>
    </w:p>
    <w:p>
      <w:pPr>
        <w:jc w:val="both"/>
        <w:ind w:firstLine="523"/>
        <w:spacing w:after="0" w:line="247" w:lineRule="auto"/>
        <w:rPr>
          <w:sz w:val="20"/>
          <w:szCs w:val="20"/>
          <w:color w:val="auto"/>
        </w:rPr>
      </w:pPr>
      <w:r>
        <w:rPr>
          <w:rFonts w:ascii="Times New Roman" w:cs="Times New Roman" w:eastAsia="Times New Roman" w:hAnsi="Times New Roman"/>
          <w:sz w:val="17"/>
          <w:szCs w:val="17"/>
          <w:color w:val="auto"/>
        </w:rPr>
        <w:t>We are a Marshall Islands limited partnership. The Nasdaq Global Select Market requires limited partnerships with listed units to comply with its corporate governance standards, subject to certain exceptions as set forth in Nasdaq Rule 5615(a)(4). As a foreign private issuer, we are not required to comply with all of the rules that apply to listed U.S. limited partnerships. In particular, our status as a foreign private issuer limited partnership exempts us from compliance with certain SEC laws and regulations and certain of the Nasdaq Global Select Market’s regulations, including the proxy rules, the short-swing profits recapture rules of Section 16 of the Exchange Act, certain rules relating to disclosure regarding executive compensation, and certain governance requirements such as independent director oversight of the nomination of directors and executive compensation. In addition, we are not required under the Exchange Act to file current reports and financial statements with the SEC as frequently or as promptly as U.S. domestic companies whose securities are registered under the Exchange Act and we are generally exempt from filing quarterly reports with the SEC.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However, these exemptions and leniencies reduce the frequency and scope of information and protections to which you are otherwise entitled as an investor and perceptions about the actual or possible reduction in the frequency and scope of information and protections to which our investors are entitled could materially and adversely affect the market price of the common units.</w:t>
      </w:r>
    </w:p>
    <w:p>
      <w:pPr>
        <w:spacing w:after="0" w:line="28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TAX RISKS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 addition to the following risk factors, you should read “Item 10. Additional Information—E. Taxation” below for a more complete discussion of the expected material U.S. federal and non-U.S. income tax considerations relating to us and the ownership and disposition of our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tax authorities could treat us as a “passive foreign investment company,” which could have adverse U.S. federal income tax consequences to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unitholders.</w:t>
      </w:r>
    </w:p>
    <w:p>
      <w:pPr>
        <w:spacing w:after="0" w:line="18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78"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 —Material U.S. Federal Income Tax Considerations—U.S. Federal Income Taxation of U.S. Holders —PFIC Status and Significant Tax Consequences.”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have to pay tax on United States source income, which would reduce our earnings.</w:t>
      </w:r>
    </w:p>
    <w:p>
      <w:pPr>
        <w:spacing w:after="0" w:line="20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Under the Internal Revenue Code of 1986, as amended (the “Code”), 50% of the gross shipping income of a vessel-owning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83"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54"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78"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our Managers, and the way we carry on business or conduct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or the increase of any tonnage tax will reduce our cash available for distribution.</w:t>
      </w:r>
    </w:p>
    <w:p>
      <w:pPr>
        <w:spacing w:after="0" w:line="27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4. Information on the Partnership.</w:t>
      </w:r>
    </w:p>
    <w:p>
      <w:pPr>
        <w:spacing w:after="0" w:line="205" w:lineRule="exact"/>
        <w:rPr>
          <w:sz w:val="20"/>
          <w:szCs w:val="20"/>
          <w:color w:val="auto"/>
        </w:rPr>
      </w:pPr>
    </w:p>
    <w:p>
      <w:pPr>
        <w:ind w:left="1060" w:hanging="534"/>
        <w:spacing w:after="0"/>
        <w:tabs>
          <w:tab w:leader="none" w:pos="106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History and Development of the Partnership</w:t>
      </w:r>
    </w:p>
    <w:p>
      <w:pPr>
        <w:spacing w:after="0" w:line="209" w:lineRule="exact"/>
        <w:rPr>
          <w:sz w:val="20"/>
          <w:szCs w:val="20"/>
          <w:color w:val="auto"/>
        </w:rPr>
      </w:pPr>
    </w:p>
    <w:p>
      <w:pPr>
        <w:ind w:right="20" w:firstLine="279"/>
        <w:spacing w:after="0" w:line="272" w:lineRule="auto"/>
        <w:rPr>
          <w:sz w:val="20"/>
          <w:szCs w:val="20"/>
          <w:color w:val="auto"/>
        </w:rPr>
      </w:pPr>
      <w:r>
        <w:rPr>
          <w:rFonts w:ascii="Times New Roman" w:cs="Times New Roman" w:eastAsia="Times New Roman" w:hAnsi="Times New Roman"/>
          <w:sz w:val="16"/>
          <w:szCs w:val="16"/>
          <w:color w:val="auto"/>
        </w:rPr>
        <w:t>We are a master limited partnership organized as Capital Product Partners L.P. under the laws of the Marshall Islands on January 16, 2007. We completed our initial public offering in April 2007. We maintain our principal executive headquarters at 3 Iassonos Street, Piraeus, 18537 Greece and our telephone number is +30 210 4584</w:t>
      </w:r>
    </w:p>
    <w:p>
      <w:pPr>
        <w:ind w:right="60"/>
        <w:spacing w:after="0" w:line="248" w:lineRule="auto"/>
        <w:tabs>
          <w:tab w:leader="none" w:pos="33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registered address in the Marshall Islands is Trust Company Complex, Ajeltake Road, Ajeltake Island, Majuro, Marshall Islands MH96960. The name of our registered agent at such address is The Trust Company of the Marshall Islands, Inc. Our website address is www.capitalpplp.com. The SEC maintains an internet website at www.sec.gov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Developments in 2022 and up to the filing of this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 Repurchase Program</w:t>
      </w:r>
    </w:p>
    <w:p>
      <w:pPr>
        <w:spacing w:after="0" w:line="209" w:lineRule="exact"/>
        <w:rPr>
          <w:sz w:val="20"/>
          <w:szCs w:val="20"/>
          <w:color w:val="auto"/>
        </w:rPr>
      </w:pPr>
    </w:p>
    <w:p>
      <w:pPr>
        <w:ind w:right="60" w:firstLine="237"/>
        <w:spacing w:after="0" w:line="254" w:lineRule="auto"/>
        <w:rPr>
          <w:sz w:val="20"/>
          <w:szCs w:val="20"/>
          <w:color w:val="auto"/>
        </w:rPr>
      </w:pPr>
      <w:r>
        <w:rPr>
          <w:rFonts w:ascii="Times New Roman" w:cs="Times New Roman" w:eastAsia="Times New Roman" w:hAnsi="Times New Roman"/>
          <w:sz w:val="17"/>
          <w:szCs w:val="17"/>
          <w:color w:val="auto"/>
        </w:rPr>
        <w:t>During 2022, we completed the repurchase, under the unit repurchase program approved in 2021, of 389,962 units, for an average price per unit of $15.13 plus repurchase expenses. These units are held as treasury units by the Partnership and the amount of $5.9 million is recorded as a reduction in the Partnership’s Partners’ Capital. On January 26, 2023, our board approved a new unit repurchase program, providing the Partnership with authorization to repurchase up to $30.0 million of the Partnership’s common units, effective for a period of two years through January 2025.</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one LNG carrier (“LNG/C”) and three 13,312 TEU Container Vessels</w:t>
      </w:r>
    </w:p>
    <w:p>
      <w:pPr>
        <w:spacing w:after="0" w:line="209" w:lineRule="exact"/>
        <w:rPr>
          <w:sz w:val="20"/>
          <w:szCs w:val="20"/>
          <w:color w:val="auto"/>
        </w:rPr>
      </w:pPr>
    </w:p>
    <w:p>
      <w:pPr>
        <w:ind w:right="240" w:firstLine="237"/>
        <w:spacing w:after="0" w:line="259" w:lineRule="auto"/>
        <w:rPr>
          <w:sz w:val="20"/>
          <w:szCs w:val="20"/>
          <w:color w:val="auto"/>
        </w:rPr>
      </w:pPr>
      <w:r>
        <w:rPr>
          <w:rFonts w:ascii="Times New Roman" w:cs="Times New Roman" w:eastAsia="Times New Roman" w:hAnsi="Times New Roman"/>
          <w:sz w:val="17"/>
          <w:szCs w:val="17"/>
          <w:color w:val="auto"/>
        </w:rPr>
        <w:t>On June 6, 2022, CPLP agreed to exercise its right of first offer and acquire, upon their respective delivery from the shipyard, one 174,000 cubic meter (“CBM”) latest generation X-DF LNG/C vessel and three 13,312 TEU hybrid scrubber-fitted Tier III and Phase III, dual fuel ready eco container sister vessels from Capital Maritime, for total consideration of $596.6 million.</w:t>
      </w:r>
    </w:p>
    <w:p>
      <w:pPr>
        <w:spacing w:after="0" w:line="169" w:lineRule="exact"/>
        <w:rPr>
          <w:sz w:val="20"/>
          <w:szCs w:val="20"/>
          <w:color w:val="auto"/>
        </w:rPr>
      </w:pPr>
    </w:p>
    <w:p>
      <w:pPr>
        <w:ind w:right="100" w:firstLine="237"/>
        <w:spacing w:after="0" w:line="254" w:lineRule="auto"/>
        <w:rPr>
          <w:sz w:val="20"/>
          <w:szCs w:val="20"/>
          <w:color w:val="auto"/>
        </w:rPr>
      </w:pPr>
      <w:r>
        <w:rPr>
          <w:rFonts w:ascii="Times New Roman" w:cs="Times New Roman" w:eastAsia="Times New Roman" w:hAnsi="Times New Roman"/>
          <w:sz w:val="17"/>
          <w:szCs w:val="17"/>
          <w:color w:val="auto"/>
        </w:rPr>
        <w:t>The LNG/C Asterix I that was under construction by Hyundai Heavy Industries Co. Ltd. (“Hyundai”), was delivered to CPLP on February 17, 2023 and started her seven-year employment with Hartree, which will expire in December 2029. Hartree has an option to extend the charter by an additional two years. The total consideration for the Asterix I of $230.0 million was financed through a combination of a $12.0 million cash deposit advanced to Capital Maritime in June 2022, $184.0 million of debt and $34.0 million of cash at hand.</w:t>
      </w:r>
    </w:p>
    <w:p>
      <w:pPr>
        <w:spacing w:after="0" w:line="174" w:lineRule="exact"/>
        <w:rPr>
          <w:sz w:val="20"/>
          <w:szCs w:val="20"/>
          <w:color w:val="auto"/>
        </w:rPr>
      </w:pPr>
    </w:p>
    <w:p>
      <w:pPr>
        <w:ind w:right="20" w:firstLine="237"/>
        <w:spacing w:after="0" w:line="252" w:lineRule="auto"/>
        <w:rPr>
          <w:sz w:val="20"/>
          <w:szCs w:val="20"/>
          <w:color w:val="auto"/>
        </w:rPr>
      </w:pPr>
      <w:r>
        <w:rPr>
          <w:rFonts w:ascii="Times New Roman" w:cs="Times New Roman" w:eastAsia="Times New Roman" w:hAnsi="Times New Roman"/>
          <w:sz w:val="17"/>
          <w:szCs w:val="17"/>
          <w:color w:val="auto"/>
        </w:rPr>
        <w:t>Two of the three 13,312 TEU Container vessels that CPLP agreed to acquire from Capital Maritime, the M/V Manzanillo Express and the M/V Itajai Express that were under construction by Hyundai Samho Heavy Industries Co. Ltd., South Korea, (“Hyundai Samho”), were delivered to CPLP on October 12, 2022 and on January 10, 2023, respectively and started their ten-year employment with Hapag-Lloyd, which, together with the optional periods, will expire between October</w:t>
      </w:r>
    </w:p>
    <w:p>
      <w:pPr>
        <w:spacing w:after="0" w:line="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2038 and January 2039. The total consideration for these vessels of $245.0 million was comprised of a $12.0 million cash deposit advanced to Capital Maritime in June 2022, $213.0 million of debt, $7.5 million in common units of CPLP (valued at the volume weighted average price of the common units of CPLP for the 30 trading days ending on the second trading day immediately prior to the Vessel acquisition, being 505,204 common units in total), and $12.5 million of cash at hand.</w:t>
      </w:r>
    </w:p>
    <w:p>
      <w:pPr>
        <w:spacing w:after="0" w:line="177"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7"/>
          <w:szCs w:val="17"/>
          <w:color w:val="auto"/>
        </w:rPr>
        <w:t>The M/V Buenaventura Express, the third 13,312 TEU Container vessel that CPLP agreed to acquire from Capital Maritime currently is under construction at Hyundai Samho and is scheduled for delivery in June 2023, upon its delivery from the shipyard. The vessel has also secured a long-term time charter with Hapag-Lloyd for a firm period of 10 years which, together with the optional periods, will expire in June 2039.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Arrangements</w:t>
      </w:r>
    </w:p>
    <w:p>
      <w:pPr>
        <w:spacing w:after="0" w:line="209" w:lineRule="exact"/>
        <w:rPr>
          <w:sz w:val="20"/>
          <w:szCs w:val="20"/>
          <w:color w:val="auto"/>
        </w:rPr>
      </w:pPr>
    </w:p>
    <w:p>
      <w:pPr>
        <w:ind w:firstLine="301"/>
        <w:spacing w:after="0" w:line="272" w:lineRule="auto"/>
        <w:rPr>
          <w:sz w:val="20"/>
          <w:szCs w:val="20"/>
          <w:color w:val="auto"/>
        </w:rPr>
      </w:pPr>
      <w:r>
        <w:rPr>
          <w:rFonts w:ascii="Times New Roman" w:cs="Times New Roman" w:eastAsia="Times New Roman" w:hAnsi="Times New Roman"/>
          <w:sz w:val="17"/>
          <w:szCs w:val="17"/>
          <w:color w:val="auto"/>
        </w:rPr>
        <w:t>On February 7, 2023, we entered into a sale and leaseback agreement with CMB Financial Leasing Co., Ltd, (“CMBFL”) of $184.0 million with the purpose of partially financing the acquisition of LNG/C Asterix I.</w:t>
      </w:r>
    </w:p>
    <w:p>
      <w:pPr>
        <w:spacing w:after="0" w:line="158" w:lineRule="exact"/>
        <w:rPr>
          <w:sz w:val="20"/>
          <w:szCs w:val="20"/>
          <w:color w:val="auto"/>
        </w:rPr>
      </w:pPr>
    </w:p>
    <w:p>
      <w:pPr>
        <w:ind w:firstLine="301"/>
        <w:spacing w:after="0" w:line="272" w:lineRule="auto"/>
        <w:rPr>
          <w:sz w:val="20"/>
          <w:szCs w:val="20"/>
          <w:color w:val="auto"/>
        </w:rPr>
      </w:pPr>
      <w:r>
        <w:rPr>
          <w:rFonts w:ascii="Times New Roman" w:cs="Times New Roman" w:eastAsia="Times New Roman" w:hAnsi="Times New Roman"/>
          <w:sz w:val="17"/>
          <w:szCs w:val="17"/>
          <w:color w:val="auto"/>
        </w:rPr>
        <w:t>On December 23, 2022, we entered into a Japanese Sale and Lease Back with Call Option arrangement of $108.0 million with the purpose of partially financing the acquisition of M/V Itajai Express.</w:t>
      </w:r>
    </w:p>
    <w:p>
      <w:pPr>
        <w:spacing w:after="0" w:line="158" w:lineRule="exact"/>
        <w:rPr>
          <w:sz w:val="20"/>
          <w:szCs w:val="20"/>
          <w:color w:val="auto"/>
        </w:rPr>
      </w:pPr>
    </w:p>
    <w:p>
      <w:pPr>
        <w:ind w:firstLine="301"/>
        <w:spacing w:after="0" w:line="272" w:lineRule="auto"/>
        <w:rPr>
          <w:sz w:val="20"/>
          <w:szCs w:val="20"/>
          <w:color w:val="auto"/>
        </w:rPr>
      </w:pPr>
      <w:r>
        <w:rPr>
          <w:rFonts w:ascii="Times New Roman" w:cs="Times New Roman" w:eastAsia="Times New Roman" w:hAnsi="Times New Roman"/>
          <w:sz w:val="17"/>
          <w:szCs w:val="17"/>
          <w:color w:val="auto"/>
        </w:rPr>
        <w:t>On October 6, 2022, we entered into a credit facility with HCOB of $105.0 million with the purpose of partially financing the acquisition of M/V Manzanillo Express.</w:t>
      </w:r>
    </w:p>
    <w:p>
      <w:pPr>
        <w:spacing w:after="0" w:line="158" w:lineRule="exact"/>
        <w:rPr>
          <w:sz w:val="20"/>
          <w:szCs w:val="20"/>
          <w:color w:val="auto"/>
        </w:rPr>
      </w:pPr>
    </w:p>
    <w:p>
      <w:pPr>
        <w:ind w:right="220" w:firstLine="301"/>
        <w:spacing w:after="0" w:line="272" w:lineRule="auto"/>
        <w:rPr>
          <w:sz w:val="20"/>
          <w:szCs w:val="20"/>
          <w:color w:val="auto"/>
        </w:rPr>
      </w:pPr>
      <w:r>
        <w:rPr>
          <w:rFonts w:ascii="Times New Roman" w:cs="Times New Roman" w:eastAsia="Times New Roman" w:hAnsi="Times New Roman"/>
          <w:sz w:val="17"/>
          <w:szCs w:val="17"/>
          <w:color w:val="auto"/>
        </w:rPr>
        <w:t>On July 22, 2022, the wholly owned subsidiary of the Partnership, CPLP PLC, issued €100.0 million of Bonds listed on the Athens Stock Exchange with a fixed coupon of 4.40% for a term of seven years.</w:t>
      </w:r>
    </w:p>
    <w:p>
      <w:pPr>
        <w:spacing w:after="0" w:line="158" w:lineRule="exact"/>
        <w:rPr>
          <w:sz w:val="20"/>
          <w:szCs w:val="20"/>
          <w:color w:val="auto"/>
        </w:rPr>
      </w:pPr>
    </w:p>
    <w:p>
      <w:pPr>
        <w:ind w:right="380" w:firstLine="301"/>
        <w:spacing w:after="0" w:line="272" w:lineRule="auto"/>
        <w:rPr>
          <w:sz w:val="20"/>
          <w:szCs w:val="20"/>
          <w:color w:val="auto"/>
        </w:rPr>
      </w:pPr>
      <w:r>
        <w:rPr>
          <w:rFonts w:ascii="Times New Roman" w:cs="Times New Roman" w:eastAsia="Times New Roman" w:hAnsi="Times New Roman"/>
          <w:sz w:val="17"/>
          <w:szCs w:val="17"/>
          <w:color w:val="auto"/>
        </w:rPr>
        <w:t>On August 4, 2022, in connection with the issuance of the Bonds, we entered into a cross-currency swap agreement with Piraeus Bank SA exchanging €100.0 million with $101.8 million paying a fixed annual rate of 6.55%.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the M/V Archimidis and the M/V Agamemnon</w:t>
      </w:r>
    </w:p>
    <w:p>
      <w:pPr>
        <w:spacing w:after="0" w:line="209" w:lineRule="exact"/>
        <w:rPr>
          <w:sz w:val="20"/>
          <w:szCs w:val="20"/>
          <w:color w:val="auto"/>
        </w:rPr>
      </w:pPr>
    </w:p>
    <w:p>
      <w:pPr>
        <w:jc w:val="both"/>
        <w:ind w:right="480" w:firstLine="301"/>
        <w:spacing w:after="0" w:line="259" w:lineRule="auto"/>
        <w:rPr>
          <w:sz w:val="20"/>
          <w:szCs w:val="20"/>
          <w:color w:val="auto"/>
        </w:rPr>
      </w:pPr>
      <w:r>
        <w:rPr>
          <w:rFonts w:ascii="Times New Roman" w:cs="Times New Roman" w:eastAsia="Times New Roman" w:hAnsi="Times New Roman"/>
          <w:sz w:val="17"/>
          <w:szCs w:val="17"/>
          <w:color w:val="auto"/>
        </w:rPr>
        <w:t>On May 30, 2022, the Partnership entered into two separate memorandums of agreement for the sale of the M/V Archimidis and the M/V Agamemnon to an unaffiliated party for total consideration of $130.0 million. The M/V Archimidis was delivered to its new owner on July 6, 2022, and the M/V Agamemnon was delivered on July 28, 2022.</w:t>
      </w:r>
    </w:p>
    <w:p>
      <w:pPr>
        <w:spacing w:after="0" w:line="169" w:lineRule="exact"/>
        <w:rPr>
          <w:sz w:val="20"/>
          <w:szCs w:val="20"/>
          <w:color w:val="auto"/>
        </w:rPr>
      </w:pPr>
    </w:p>
    <w:p>
      <w:pPr>
        <w:ind w:firstLine="301"/>
        <w:spacing w:after="0" w:line="272" w:lineRule="auto"/>
        <w:rPr>
          <w:sz w:val="20"/>
          <w:szCs w:val="20"/>
          <w:color w:val="auto"/>
        </w:rPr>
      </w:pPr>
      <w:r>
        <w:rPr>
          <w:rFonts w:ascii="Times New Roman" w:cs="Times New Roman" w:eastAsia="Times New Roman" w:hAnsi="Times New Roman"/>
          <w:sz w:val="17"/>
          <w:szCs w:val="17"/>
          <w:color w:val="auto"/>
        </w:rPr>
        <w:t>See “Item 5. Operating and Financial Review and Prospects—B. Liquidity and Capital Resources—Borrowings (Financing Arrangements)” below for information regarding our financing arrangements.</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Developments in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six LNG/C vessels</w:t>
      </w:r>
    </w:p>
    <w:p>
      <w:pPr>
        <w:spacing w:after="0" w:line="209"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6"/>
          <w:szCs w:val="16"/>
          <w:color w:val="auto"/>
        </w:rPr>
        <w:t>On August 31, 2021, CPLP agreed to acquire three 174,000 CBM latest generation X-DF LNG carriers, namely, the LNG/C Aristos I, the LNG/C Aristarchos and the LNG/C Aristidis I, constructed at Hyundai, from CGC Operating Corp., for total consideration of $599.8 million comprised of (i) $147.1 million of cash on hand,</w:t>
      </w:r>
    </w:p>
    <w:p>
      <w:pPr>
        <w:jc w:val="both"/>
        <w:spacing w:after="0" w:line="247" w:lineRule="auto"/>
        <w:tabs>
          <w:tab w:leader="none" w:pos="25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the $427.4 million of secured debt, (iii) the issuance of 1,153,846 (or $15.3 million in value) of new common units of CPLP at a premium to the unit trading price at the time of the agreement and (iv) $10.0 million of unsecured, interest free seller’s credit. The LNG/C Aristos I and the LNG/C Aristarchos were delivered to the Partnership on September 3, 2021, while the LNG/C Aristidis I was delivered on December 16, 2021. The LNG/C Aristos I and the LNG/C Aristidis I are under long-term time charters with BP with earliest expiration in October 2023 and December 2023, respectively. The LNG/C Aristarchos is under a long-term time charter with Cheniere, which expires the earliest in February 2025.</w:t>
      </w:r>
    </w:p>
    <w:p>
      <w:pPr>
        <w:spacing w:after="0" w:line="180" w:lineRule="exact"/>
        <w:rPr>
          <w:sz w:val="20"/>
          <w:szCs w:val="20"/>
          <w:color w:val="auto"/>
        </w:rPr>
      </w:pPr>
    </w:p>
    <w:p>
      <w:pPr>
        <w:ind w:firstLine="237"/>
        <w:spacing w:after="0" w:line="272" w:lineRule="auto"/>
        <w:rPr>
          <w:sz w:val="20"/>
          <w:szCs w:val="20"/>
          <w:color w:val="auto"/>
        </w:rPr>
      </w:pPr>
      <w:r>
        <w:rPr>
          <w:rFonts w:ascii="Times New Roman" w:cs="Times New Roman" w:eastAsia="Times New Roman" w:hAnsi="Times New Roman"/>
          <w:sz w:val="16"/>
          <w:szCs w:val="16"/>
          <w:color w:val="auto"/>
        </w:rPr>
        <w:t>Furthermore, on August 31, 2021, the Partnership secured an option, which was exercised on November 4, 2021, to acquire an additional three X-DF LNG/C sister vessels, namely, the LNG/C Attalos, the LNG/C Asklipios and the LNG/C Adamastos, constructed at Hyundai, for total consideration of $623.0 million comprised of</w:t>
      </w:r>
    </w:p>
    <w:p>
      <w:pPr>
        <w:jc w:val="both"/>
        <w:spacing w:after="0" w:line="248" w:lineRule="auto"/>
        <w:tabs>
          <w:tab w:leader="none" w:pos="20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$184.0 million of cash on hand and (ii) the assumption of the $439.0 million of secured debt. The LNG/C Attalos and the LNG/C Asklipios were delivered to the Partnership on November 18, 2021, while the LNG/C Adamastos was delivered on November 29, 2021. The LNG/C Attalos is under long-term time charter with BP with earliest expiration in October 2025, the LNG/C Asklipios is under long-term time charter with Cheniere expected to expire at the earliest in January 2025 and the LNG/C Adamastos is under a long-term time charter with Engie which expires at the earliest in September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the M/V CMA CGM Magdalena and the M/V Adonis</w:t>
      </w:r>
    </w:p>
    <w:p>
      <w:pPr>
        <w:spacing w:after="0" w:line="209" w:lineRule="exact"/>
        <w:rPr>
          <w:sz w:val="20"/>
          <w:szCs w:val="20"/>
          <w:color w:val="auto"/>
        </w:rPr>
      </w:pPr>
    </w:p>
    <w:p>
      <w:pPr>
        <w:jc w:val="both"/>
        <w:ind w:firstLine="237"/>
        <w:spacing w:after="0" w:line="259" w:lineRule="auto"/>
        <w:rPr>
          <w:sz w:val="20"/>
          <w:szCs w:val="20"/>
          <w:color w:val="auto"/>
        </w:rPr>
      </w:pPr>
      <w:r>
        <w:rPr>
          <w:rFonts w:ascii="Times New Roman" w:cs="Times New Roman" w:eastAsia="Times New Roman" w:hAnsi="Times New Roman"/>
          <w:sz w:val="17"/>
          <w:szCs w:val="17"/>
          <w:color w:val="auto"/>
        </w:rPr>
        <w:t>On April 7, 2021 the Partnership entered into memorandums of agreement for the sale of the M/V CMA CGM Magdalena and the M/V Adonis to an unaffiliated third party for total consideration of $195.0 million. The M/V CMA CGM Magdalena and the M/V Adonis were delivered to their new owners on May 17, 2021, and December 13, 2021,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three Panamax container carrier vessels</w:t>
      </w:r>
    </w:p>
    <w:p>
      <w:pPr>
        <w:spacing w:after="0" w:line="209" w:lineRule="exact"/>
        <w:rPr>
          <w:sz w:val="20"/>
          <w:szCs w:val="20"/>
          <w:color w:val="auto"/>
        </w:rPr>
      </w:pPr>
    </w:p>
    <w:p>
      <w:pPr>
        <w:jc w:val="both"/>
        <w:ind w:firstLine="237"/>
        <w:spacing w:after="0" w:line="254" w:lineRule="auto"/>
        <w:rPr>
          <w:sz w:val="20"/>
          <w:szCs w:val="20"/>
          <w:color w:val="auto"/>
        </w:rPr>
      </w:pPr>
      <w:r>
        <w:rPr>
          <w:rFonts w:ascii="Times New Roman" w:cs="Times New Roman" w:eastAsia="Times New Roman" w:hAnsi="Times New Roman"/>
          <w:sz w:val="17"/>
          <w:szCs w:val="17"/>
          <w:color w:val="auto"/>
        </w:rPr>
        <w:t>In February 2021, the Partnership completed the acquisition of the three 5,100 TEU sister container vessels, namely the M/V Long Beach Express, M/V Seattle Express and the M/V Fos Express built in 2008 at Hanjin Heavy Industries, South Korea, for total consideration of $40.5 million. The vessels are employed under long-term time charters with Hapag-Lloyd with the earliest expiration in June 2025 (for the M/V Long Beach Express) or September 2025 (for the M/V Seattle Express and the M/V Fos Express).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Arrangements entered into and/or assumed</w:t>
      </w:r>
    </w:p>
    <w:p>
      <w:pPr>
        <w:spacing w:after="0" w:line="209" w:lineRule="exact"/>
        <w:rPr>
          <w:sz w:val="20"/>
          <w:szCs w:val="20"/>
          <w:color w:val="auto"/>
        </w:rPr>
      </w:pPr>
    </w:p>
    <w:p>
      <w:pPr>
        <w:jc w:val="both"/>
        <w:ind w:right="20" w:firstLine="237"/>
        <w:spacing w:after="0" w:line="272" w:lineRule="auto"/>
        <w:rPr>
          <w:sz w:val="20"/>
          <w:szCs w:val="20"/>
          <w:color w:val="auto"/>
        </w:rPr>
      </w:pPr>
      <w:r>
        <w:rPr>
          <w:rFonts w:ascii="Times New Roman" w:cs="Times New Roman" w:eastAsia="Times New Roman" w:hAnsi="Times New Roman"/>
          <w:sz w:val="17"/>
          <w:szCs w:val="17"/>
          <w:color w:val="auto"/>
        </w:rPr>
        <w:t>On October 20, 2021, the wholly owned subsidiary of the Partnership, CPLP PLC, issued €150.0 million of Bonds listed on the Athens Stock Exchange with a fixed coupon of 2.65% for a term of five years.</w:t>
      </w:r>
    </w:p>
    <w:p>
      <w:pPr>
        <w:spacing w:after="0" w:line="158" w:lineRule="exact"/>
        <w:rPr>
          <w:sz w:val="20"/>
          <w:szCs w:val="20"/>
          <w:color w:val="auto"/>
        </w:rPr>
      </w:pPr>
    </w:p>
    <w:p>
      <w:pPr>
        <w:jc w:val="both"/>
        <w:ind w:firstLine="237"/>
        <w:spacing w:after="0" w:line="259" w:lineRule="auto"/>
        <w:rPr>
          <w:sz w:val="20"/>
          <w:szCs w:val="20"/>
          <w:color w:val="auto"/>
        </w:rPr>
      </w:pPr>
      <w:r>
        <w:rPr>
          <w:rFonts w:ascii="Times New Roman" w:cs="Times New Roman" w:eastAsia="Times New Roman" w:hAnsi="Times New Roman"/>
          <w:sz w:val="17"/>
          <w:szCs w:val="17"/>
          <w:color w:val="auto"/>
        </w:rPr>
        <w:t>In connection with the issuance of the Bonds, we entered into certain cross-currency swap agreements, including on December 2, 2021 a cross currency agreement with Piraeus Bank SA, exchanging €120.0 million with $139.7 million paying fixed annual rate of 3.655% and on December 14, 2021 a cross currency agreement with Alpha Bank SA, exchanging €30.0 million with $34.9 million paying fixed annual rate of 3.690%.</w:t>
      </w:r>
    </w:p>
    <w:p>
      <w:pPr>
        <w:spacing w:after="0" w:line="169"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7"/>
          <w:szCs w:val="17"/>
          <w:color w:val="auto"/>
        </w:rPr>
        <w:t>On December 16, 2021, upon the delivery of the LNG/C Aristidis I, we assumed a syndicated secured credit facility with ING Bank N.V., London Branch acting as agent of $123.0 million.</w:t>
      </w:r>
    </w:p>
    <w:p>
      <w:pPr>
        <w:spacing w:after="0" w:line="158"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7"/>
          <w:szCs w:val="17"/>
          <w:color w:val="auto"/>
        </w:rPr>
        <w:t>On November 29, 2021, upon the delivery of the LNG/C Adamastos, we assumed debt in the form of a sale and leaseback agreement with Shin Doun Kisen Co., Ltd. (“Shin Doun”) of $143.1 million.</w:t>
      </w:r>
    </w:p>
    <w:p>
      <w:pPr>
        <w:spacing w:after="0" w:line="158"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7"/>
          <w:szCs w:val="17"/>
          <w:color w:val="auto"/>
        </w:rPr>
        <w:t>On November 18, 2021, upon the delivery of the LNG/C Attalos and the LNG/C Asklipios we assumed debt in the form of sale and leaseback agreement with CMBFL of $146.3 million and $149.6 million respectively.</w:t>
      </w:r>
    </w:p>
    <w:p>
      <w:pPr>
        <w:spacing w:after="0" w:line="158" w:lineRule="exact"/>
        <w:rPr>
          <w:sz w:val="20"/>
          <w:szCs w:val="20"/>
          <w:color w:val="auto"/>
        </w:rPr>
      </w:pPr>
    </w:p>
    <w:p>
      <w:pPr>
        <w:jc w:val="both"/>
        <w:ind w:firstLine="237"/>
        <w:spacing w:after="0" w:line="254" w:lineRule="auto"/>
        <w:rPr>
          <w:sz w:val="20"/>
          <w:szCs w:val="20"/>
          <w:color w:val="auto"/>
        </w:rPr>
      </w:pPr>
      <w:r>
        <w:rPr>
          <w:rFonts w:ascii="Times New Roman" w:cs="Times New Roman" w:eastAsia="Times New Roman" w:hAnsi="Times New Roman"/>
          <w:sz w:val="17"/>
          <w:szCs w:val="17"/>
          <w:color w:val="auto"/>
        </w:rPr>
        <w:t>On September 3, 2021, upon the delivery of the LNG/C Aristos I and the LNG/C Aristarchos we assumed debt in the form of sale and leaseback agreement with Bank of Communications Financial Leasing Co., Ltd, (“Bocomm”) of $148.9 million and $155.4 million respectively. Furthermore, we entered into the CGC Seller’s Credit in order to defer $10.0 million of the total purchase price of the LNG/C Aristos I and the LNG/C Aristarchos for up to twelve months from the Vessels’ delivery date.</w:t>
      </w:r>
    </w:p>
    <w:p>
      <w:pPr>
        <w:spacing w:after="0" w:line="174" w:lineRule="exact"/>
        <w:rPr>
          <w:sz w:val="20"/>
          <w:szCs w:val="20"/>
          <w:color w:val="auto"/>
        </w:rPr>
      </w:pPr>
    </w:p>
    <w:p>
      <w:pPr>
        <w:jc w:val="both"/>
        <w:ind w:firstLine="237"/>
        <w:spacing w:after="0" w:line="259" w:lineRule="auto"/>
        <w:rPr>
          <w:sz w:val="20"/>
          <w:szCs w:val="20"/>
          <w:color w:val="auto"/>
        </w:rPr>
      </w:pPr>
      <w:r>
        <w:rPr>
          <w:rFonts w:ascii="Times New Roman" w:cs="Times New Roman" w:eastAsia="Times New Roman" w:hAnsi="Times New Roman"/>
          <w:sz w:val="17"/>
          <w:szCs w:val="17"/>
          <w:color w:val="auto"/>
        </w:rPr>
        <w:t>On January 22, 2021, we entered into an agreement for the sale and lease back of the vessels M/V Long Beach Express, M/V Seattle Express and M/V Fos Express with CMBFL for $10.0 million each. Furthermore, we entered into the Seller’s Credit Agreement with CMTC (“CMTC Seller’s Credit”) in order to defer $6.0 million of the purchase price of the M/V Long Beach Express, M/V Seattle Express and M/V Fos Express for up to five years from the Vessels’ delivery date.</w:t>
      </w:r>
    </w:p>
    <w:p>
      <w:pPr>
        <w:spacing w:after="0" w:line="169"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7"/>
          <w:szCs w:val="17"/>
          <w:color w:val="auto"/>
        </w:rPr>
        <w:t>See “Item 5. Operating and Financial Review and Prospects—B. Liquidity and Capital Resources—Borrowings (Financing Arrangements)” below for information regarding our financing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 Repurchase Program</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On January 25, 2021, the Partnership’s Board of Directors approved a unit repurchase plan for an amount of $30.0 million to be used for repurchasing the Partnership’s common units over the period of two years. During 2021, we completed the repurchase of 382,250 units, paying an average price per unit of $11.74 plus repurchasing expenses. These units are held as treasury units by the Partnership and the amount of $4.5 million is recorded as a reduction in the Partnership’s Partners’ Capital.</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Developments in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of Manager of the M/V Cape Agamemnon</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On November 30, 2020, we completed the process of changing the manager of our Capesize bulk carrier vessel, the M/V Cape Agamemnon, from Capital Ship Management to Capital-Executive, a privately held company ultimately controlled by Mr. Miltiadis E. Marinakis, resulting in Capital-Executive becoming the sole manager of our container and drybulk vessels. The agreement with Capital-Executive has the same terms and conditions of the floating fee management agreement we had with Capital Ship Management.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three Neo-Panamax container vessels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January 2020 the Partnership completed the acquisition of the three 10,000 TEU sister container vessels, namely the M/V Athos, the M/V Aristomenis and the M/V Athenian built in 2011 at Samsung Heavy Industries Co. Ltd South Korea, for total consideration of $162.6 million from Capital Maritime. The vessels are employed under long-term time charters with Hapag-Lloyd which will expire in April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Arrangements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On January 17, 2020 the Partnership entered into a new term loan facility with HCOB of up to $38.5 million.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On January 20, 2020 we entered into an agreement for the sale and lease back of the vessels M/V Athos and M/V Aristomenis with CMBFL for $38.5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w:t>
      </w:r>
    </w:p>
    <w:p>
      <w:pPr>
        <w:spacing w:after="0" w:line="18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In December 2019 we entered into a non-binding term sheet and in May 2020 into agreements with ICBC Financial Leasing Co., Ltd. (“ICBCFL”) for the sale and lease back of three vessels then mortgaged under the 2017 credit facility, namely the M/V Akadimos (ex CMA CGM Amazon), the M/V Adonis (ex CMA CGM Uruguay) and the CMA CGM Magdalena, for a total amount of $155.4 million. Following the sale of the M/V CMA CGM Magdalena and the M/V Adonis, in May and December 2021, respectively, we fully repaid the amount of $96.2 million related to the two of the three ICBCFL agreements. See also “Item 5. Operating and Financial Review and Prospects—B. Liquidity and Capital Resources—Borrowings (Financing Arrangements)” below for information regarding our financing arrangements.</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1" w:name="page42"/>
    <w:bookmarkEnd w:id="41"/>
    <w:p>
      <w:pPr>
        <w:ind w:left="1060" w:hanging="534"/>
        <w:spacing w:after="0"/>
        <w:tabs>
          <w:tab w:leader="none" w:pos="10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Overview</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are an international owner of ocean-going vessels. Our fleet consists of 22 vessels including, 11 Neo-Panamax container carrier vessels (1.1 million DWT and total TEU capacity of 90,889), three Panamax container carrier vessels (0.2 million DWT and total TEU capacity of 15,267), one Capesize bulk carrier vessel (0.2 million DWT) and seven latest generation LNG carrier vessels (0.6 million DWT and total capacity of 1.2 million CBM), with a DWT weighted average fleet age of approximately 7.2 years as at March 31, 2023. This excludes one 13,312 TEU container vessel that CPLP has agreed to acquire and is expected to be delivered in the second quarter of 2023.</w:t>
      </w:r>
    </w:p>
    <w:p>
      <w:pPr>
        <w:spacing w:after="0" w:line="176"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All of our container carrier vessels are currently chartered under medium- to long-term charters (with remaining revenue-weighted charter of approximately 5.9 years as of March 31, 2023 based on earliest expiration) to reputable charterers, such as CMA CGM, HMM and Hapag-Lloyd.</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All of our LNG carrier vessels are currently chartered under medium- to long-term charters (with remaining revenue-weighted charter of approximately 6.4 years as of March 31, 2023, based on earliest expiration) to reputable charters, such as BP, Cheniere, Engie and Hartree.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fleet is managed by our Managers, which are private companies.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Strategies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primary business objective is to increase cash available for distributions to our unitholders, while maintaining a strong financial position and growing our business. We aim to realize our business objectives through the following strategies:</w:t>
      </w:r>
    </w:p>
    <w:p>
      <w:pPr>
        <w:spacing w:after="0" w:line="154" w:lineRule="exact"/>
        <w:rPr>
          <w:sz w:val="20"/>
          <w:szCs w:val="20"/>
          <w:color w:val="auto"/>
        </w:rPr>
      </w:pPr>
    </w:p>
    <w:p>
      <w:pPr>
        <w:jc w:val="both"/>
        <w:ind w:left="1040" w:hanging="263"/>
        <w:spacing w:after="0" w:line="252" w:lineRule="auto"/>
        <w:tabs>
          <w:tab w:leader="none" w:pos="10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Maintain medium- to long-term fixed charters. </w:t>
      </w:r>
      <w:r>
        <w:rPr>
          <w:rFonts w:ascii="Times New Roman" w:cs="Times New Roman" w:eastAsia="Times New Roman" w:hAnsi="Times New Roman"/>
          <w:sz w:val="17"/>
          <w:szCs w:val="17"/>
          <w:color w:val="auto"/>
        </w:rPr>
        <w:t>We seek to enter into medium- to long-term, fixed-rate charters for a majority of our fleet in an effort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provide visibility of revenues and cash flows. As our vessels come up for re-chartering, we aim to redeploy them under period contracts that reflect our expectations of prevailing market conditions. In the pursuit of our strategies, we evaluate growth opportunities across all shipping sectors. We believe that the DWT weighted average age of our fleet of approximately 6.7 years as of March 31, 2023, including a 13,312 TEU container vessel we expect to take delivery of in June 2023, compared to an industry average of 13.2 years (adjusted for the composition of our fleet) and the high specifications of our vessels, position us favorably to continue to secure medium- to long-term charters for our vessels.</w:t>
      </w:r>
    </w:p>
    <w:p>
      <w:pPr>
        <w:spacing w:after="0" w:line="171" w:lineRule="exact"/>
        <w:rPr>
          <w:rFonts w:ascii="Times New Roman" w:cs="Times New Roman" w:eastAsia="Times New Roman" w:hAnsi="Times New Roman"/>
          <w:sz w:val="17"/>
          <w:szCs w:val="17"/>
          <w:b w:val="1"/>
          <w:bCs w:val="1"/>
          <w:color w:val="auto"/>
        </w:rPr>
      </w:pPr>
    </w:p>
    <w:p>
      <w:pPr>
        <w:jc w:val="both"/>
        <w:ind w:left="1040" w:hanging="263"/>
        <w:spacing w:after="0" w:line="250" w:lineRule="auto"/>
        <w:tabs>
          <w:tab w:leader="none" w:pos="10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Expand our fleet through accretive acquisitions. </w:t>
      </w:r>
      <w:r>
        <w:rPr>
          <w:rFonts w:ascii="Times New Roman" w:cs="Times New Roman" w:eastAsia="Times New Roman" w:hAnsi="Times New Roman"/>
          <w:sz w:val="17"/>
          <w:szCs w:val="17"/>
          <w:color w:val="auto"/>
        </w:rPr>
        <w:t>Subject to available required financing, we intend to evaluate potential acquisitions of both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newbuilds and second-hand vessels across the shipping markets. We also intend to take advantage of opportunities afforded to us by our relationship with our sponsor, Capital Maritime. In January 2020, we acquired three 10,000 TEU container carrier vessels; in February 2021 we acquired an additional three 5,100 TEU container carrier vessels and during the second half of 2021 we acquired six LNG carrier vessels. In June 2022 we agreed to acquire one LNG carrier vessel which was delivered to us in February 2023, and three 13,312 TEU container carrier vessels two of which we took delivery in October 2022 and January 2023, respectively, while the third is scheduled for delivery in June 2023. For future acquisitions, we may consider increases in our overall leverage, provided that we are able to deliver stable distributions to our unitholders and grow our fleet. In addition, we may pursue opportunities for acquisitions of, or combinations with, other shipping businesses.</w:t>
      </w:r>
    </w:p>
    <w:p>
      <w:pPr>
        <w:spacing w:after="0" w:line="174" w:lineRule="exact"/>
        <w:rPr>
          <w:rFonts w:ascii="Times New Roman" w:cs="Times New Roman" w:eastAsia="Times New Roman" w:hAnsi="Times New Roman"/>
          <w:sz w:val="17"/>
          <w:szCs w:val="17"/>
          <w:b w:val="1"/>
          <w:bCs w:val="1"/>
          <w:color w:val="auto"/>
        </w:rPr>
      </w:pPr>
    </w:p>
    <w:p>
      <w:pPr>
        <w:jc w:val="both"/>
        <w:ind w:left="1040" w:hanging="263"/>
        <w:spacing w:after="0" w:line="256" w:lineRule="auto"/>
        <w:tabs>
          <w:tab w:leader="none" w:pos="10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Maintain and build on our ability to meet rigorous industry and regulatory safety standards. </w:t>
      </w:r>
      <w:r>
        <w:rPr>
          <w:rFonts w:ascii="Times New Roman" w:cs="Times New Roman" w:eastAsia="Times New Roman" w:hAnsi="Times New Roman"/>
          <w:sz w:val="17"/>
          <w:szCs w:val="17"/>
          <w:color w:val="auto"/>
        </w:rPr>
        <w:t>We believe that in order for us to be successful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growing our business, we need to maintain our vessel safety record and further build on our high level of customer service and support. We believe that our Managers, have strong records of vessel safety and compliance with rigorous health, safety and environmental protection standards, and are committed to providing our charterers with a high level of customer service and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Customers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provide marine transportation services under medium- to long-term time charters with a range of counterparties:</w:t>
      </w:r>
    </w:p>
    <w:p>
      <w:pPr>
        <w:spacing w:after="0" w:line="201" w:lineRule="exact"/>
        <w:rPr>
          <w:sz w:val="20"/>
          <w:szCs w:val="20"/>
          <w:color w:val="auto"/>
        </w:rPr>
      </w:pPr>
    </w:p>
    <w:p>
      <w:pPr>
        <w:ind w:left="1040" w:hanging="263"/>
        <w:spacing w:after="0"/>
        <w:tabs>
          <w:tab w:leader="none" w:pos="10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Hyundai Merchant Marine Co. Ltd, </w:t>
      </w:r>
      <w:r>
        <w:rPr>
          <w:rFonts w:ascii="Times New Roman" w:cs="Times New Roman" w:eastAsia="Times New Roman" w:hAnsi="Times New Roman"/>
          <w:sz w:val="16"/>
          <w:szCs w:val="16"/>
          <w:color w:val="auto"/>
        </w:rPr>
        <w:t>is an integrated logistics company, which has worldwide global service networks and diverse logistics facilities.</w:t>
      </w:r>
    </w:p>
    <w:p>
      <w:pPr>
        <w:spacing w:after="0" w:line="216" w:lineRule="exact"/>
        <w:rPr>
          <w:rFonts w:ascii="Times New Roman" w:cs="Times New Roman" w:eastAsia="Times New Roman" w:hAnsi="Times New Roman"/>
          <w:sz w:val="16"/>
          <w:szCs w:val="16"/>
          <w:b w:val="1"/>
          <w:bCs w:val="1"/>
          <w:color w:val="auto"/>
        </w:rPr>
      </w:pPr>
    </w:p>
    <w:p>
      <w:pPr>
        <w:ind w:left="1040" w:right="300" w:hanging="263"/>
        <w:spacing w:after="0" w:line="277" w:lineRule="auto"/>
        <w:tabs>
          <w:tab w:leader="none" w:pos="10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Hapag Lloyd- Aktiengesellschaft</w:t>
      </w:r>
      <w:r>
        <w:rPr>
          <w:rFonts w:ascii="Times New Roman" w:cs="Times New Roman" w:eastAsia="Times New Roman" w:hAnsi="Times New Roman"/>
          <w:sz w:val="17"/>
          <w:szCs w:val="17"/>
          <w:color w:val="auto"/>
        </w:rPr>
        <w:t>, is a German international shipping and container transportation company and one of the largest container carrier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companies in terms of vessel capacity.</w:t>
      </w:r>
    </w:p>
    <w:p>
      <w:pPr>
        <w:spacing w:after="0" w:line="149" w:lineRule="exact"/>
        <w:rPr>
          <w:rFonts w:ascii="Times New Roman" w:cs="Times New Roman" w:eastAsia="Times New Roman" w:hAnsi="Times New Roman"/>
          <w:sz w:val="17"/>
          <w:szCs w:val="17"/>
          <w:b w:val="1"/>
          <w:bCs w:val="1"/>
          <w:color w:val="auto"/>
        </w:rPr>
      </w:pPr>
    </w:p>
    <w:p>
      <w:pPr>
        <w:ind w:left="1040" w:hanging="263"/>
        <w:spacing w:after="0" w:line="277" w:lineRule="auto"/>
        <w:tabs>
          <w:tab w:leader="none" w:pos="10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BP Gas Marketing Limited </w:t>
      </w:r>
      <w:r>
        <w:rPr>
          <w:rFonts w:ascii="Times New Roman" w:cs="Times New Roman" w:eastAsia="Times New Roman" w:hAnsi="Times New Roman"/>
          <w:sz w:val="17"/>
          <w:szCs w:val="17"/>
          <w:color w:val="auto"/>
        </w:rPr>
        <w:t>is part of the wider BP group and produces and distributes oil and natural gas. The company offers biofuels, motor oil,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lubricants, petrol, crudes, liquefied natural gas, marine fuels, natural gas liquids, and petrochemicals. BP markets its products worldwide.</w:t>
      </w:r>
    </w:p>
    <w:p>
      <w:pPr>
        <w:spacing w:after="0" w:line="149" w:lineRule="exact"/>
        <w:rPr>
          <w:rFonts w:ascii="Times New Roman" w:cs="Times New Roman" w:eastAsia="Times New Roman" w:hAnsi="Times New Roman"/>
          <w:sz w:val="17"/>
          <w:szCs w:val="17"/>
          <w:b w:val="1"/>
          <w:bCs w:val="1"/>
          <w:color w:val="auto"/>
        </w:rPr>
      </w:pPr>
    </w:p>
    <w:p>
      <w:pPr>
        <w:jc w:val="both"/>
        <w:ind w:left="1040" w:hanging="263"/>
        <w:spacing w:after="0" w:line="277" w:lineRule="auto"/>
        <w:tabs>
          <w:tab w:leader="none" w:pos="10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Cheniere Marketing International LLP </w:t>
      </w:r>
      <w:r>
        <w:rPr>
          <w:rFonts w:ascii="Times New Roman" w:cs="Times New Roman" w:eastAsia="Times New Roman" w:hAnsi="Times New Roman"/>
          <w:sz w:val="16"/>
          <w:szCs w:val="16"/>
          <w:color w:val="auto"/>
        </w:rPr>
        <w:t>is part of Cheniere Energy Inc., a liquefied natural gas company headquartered in Houston, Texas. Cheniere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full-service LNG provider, with capabilities that include gas procurement and transportation, liquefaction, vessel chartering, and LNG delivery. Cheniere has one of the largest liquefaction platforms in the world, consisting of the Sabine Pass and Corpus Christi liquefaction facilities on the U.S. Gulf Coast, with expected total production capacity of approximately 45.0 million tons per annum of LNG operating or in commissioning.</w:t>
      </w:r>
    </w:p>
    <w:p>
      <w:pPr>
        <w:spacing w:after="0" w:line="257"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2" w:name="page43"/>
    <w:bookmarkEnd w:id="42"/>
    <w:p>
      <w:pPr>
        <w:jc w:val="both"/>
        <w:ind w:left="1040" w:hanging="263"/>
        <w:spacing w:after="0" w:line="261" w:lineRule="auto"/>
        <w:tabs>
          <w:tab w:leader="none" w:pos="10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Engie Energy Marketing Singapore Pte Ltd</w:t>
      </w:r>
      <w:r>
        <w:rPr>
          <w:rFonts w:ascii="Times New Roman" w:cs="Times New Roman" w:eastAsia="Times New Roman" w:hAnsi="Times New Roman"/>
          <w:sz w:val="17"/>
          <w:szCs w:val="17"/>
          <w:color w:val="auto"/>
        </w:rPr>
        <w:t>. is part of the wider Engie SA group, a French multinational utility company, headquartered in Paris,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France, which operates in the fields of energy transition, electricity generation and distribution, natural gas, nuclear, renewable energy and petroleum. Engie supplies electricity in 27 countries in Europe and 48 countries worldwide.</w:t>
      </w:r>
    </w:p>
    <w:p>
      <w:pPr>
        <w:spacing w:after="0" w:line="163" w:lineRule="exact"/>
        <w:rPr>
          <w:rFonts w:ascii="Times New Roman" w:cs="Times New Roman" w:eastAsia="Times New Roman" w:hAnsi="Times New Roman"/>
          <w:sz w:val="17"/>
          <w:szCs w:val="17"/>
          <w:b w:val="1"/>
          <w:bCs w:val="1"/>
          <w:color w:val="auto"/>
        </w:rPr>
      </w:pPr>
    </w:p>
    <w:p>
      <w:pPr>
        <w:ind w:left="1040" w:hanging="263"/>
        <w:spacing w:after="0" w:line="277" w:lineRule="auto"/>
        <w:tabs>
          <w:tab w:leader="none" w:pos="10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Hartree Partners Power &amp; Gas Company (UK) Limited. </w:t>
      </w:r>
      <w:r>
        <w:rPr>
          <w:rFonts w:ascii="Times New Roman" w:cs="Times New Roman" w:eastAsia="Times New Roman" w:hAnsi="Times New Roman"/>
          <w:sz w:val="17"/>
          <w:szCs w:val="17"/>
          <w:color w:val="auto"/>
        </w:rPr>
        <w:t>is a global energy and commodities firm privately held by management and Oaktree,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investment manager with approximately $170.0 billion of assets under management as of the end of the year 2022.</w:t>
      </w:r>
    </w:p>
    <w:p>
      <w:pPr>
        <w:spacing w:after="0" w:line="149" w:lineRule="exact"/>
        <w:rPr>
          <w:rFonts w:ascii="Times New Roman" w:cs="Times New Roman" w:eastAsia="Times New Roman" w:hAnsi="Times New Roman"/>
          <w:sz w:val="17"/>
          <w:szCs w:val="17"/>
          <w:b w:val="1"/>
          <w:bCs w:val="1"/>
          <w:color w:val="auto"/>
        </w:rPr>
      </w:pPr>
    </w:p>
    <w:p>
      <w:pPr>
        <w:ind w:left="1040" w:hanging="263"/>
        <w:spacing w:after="0" w:line="277" w:lineRule="auto"/>
        <w:tabs>
          <w:tab w:leader="none" w:pos="10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CMA CGM S.A. </w:t>
      </w:r>
      <w:r>
        <w:rPr>
          <w:rFonts w:ascii="Times New Roman" w:cs="Times New Roman" w:eastAsia="Times New Roman" w:hAnsi="Times New Roman"/>
          <w:sz w:val="17"/>
          <w:szCs w:val="17"/>
          <w:color w:val="auto"/>
        </w:rPr>
        <w:t>is a French container transportation and shipping company with a presence in 160 countries and currently operates a fleet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593 vessels.</w:t>
      </w:r>
    </w:p>
    <w:p>
      <w:pPr>
        <w:spacing w:after="0" w:line="15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 See “Item 3. Key Information—D. Risk Factors— Risks Related to Our Business and Operations—We currently derive all of our revenues from a limited number of charterers and the loss of any charterer or charter or vessel could result in a significant loss of revenues and 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Management Agreements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Under our management agreements:</w:t>
      </w:r>
    </w:p>
    <w:p>
      <w:pPr>
        <w:spacing w:after="0" w:line="205" w:lineRule="exact"/>
        <w:rPr>
          <w:sz w:val="20"/>
          <w:szCs w:val="20"/>
          <w:color w:val="auto"/>
        </w:rPr>
      </w:pPr>
    </w:p>
    <w:p>
      <w:pPr>
        <w:ind w:left="1040" w:hanging="263"/>
        <w:spacing w:after="0"/>
        <w:tabs>
          <w:tab w:leader="none" w:pos="10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our Managers a daily technical management fee per vessel, which is revised annually based on the United States Consumer Price Index;</w:t>
      </w:r>
    </w:p>
    <w:p>
      <w:pPr>
        <w:spacing w:after="0" w:line="205" w:lineRule="exact"/>
        <w:rPr>
          <w:rFonts w:ascii="Times New Roman" w:cs="Times New Roman" w:eastAsia="Times New Roman" w:hAnsi="Times New Roman"/>
          <w:sz w:val="17"/>
          <w:szCs w:val="17"/>
          <w:color w:val="auto"/>
        </w:rPr>
      </w:pPr>
    </w:p>
    <w:p>
      <w:pPr>
        <w:ind w:left="1040" w:right="140" w:hanging="263"/>
        <w:spacing w:after="0" w:line="272" w:lineRule="auto"/>
        <w:tabs>
          <w:tab w:leader="none" w:pos="10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bear all costs and expenses associated with a vessel’s dry-docking.</w:t>
      </w:r>
    </w:p>
    <w:p>
      <w:pPr>
        <w:spacing w:after="0" w:line="200" w:lineRule="exact"/>
        <w:rPr>
          <w:sz w:val="20"/>
          <w:szCs w:val="20"/>
          <w:color w:val="auto"/>
        </w:rPr>
      </w:pPr>
    </w:p>
    <w:p>
      <w:pPr>
        <w:spacing w:after="0" w:line="206"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expect that vessels acquired in the future will be managed under similar floating fee management arrangements. See Note 4 (Transactions with Related Parties) to our Financial Statements for additional information on fees pays under our management 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Fleet</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At the time of our initial public offering in 2007, our fleet consisted of eight vessels. As of December 31, 2018, our fleet consisted of 36 vessels. We completed the spin-off of our 25 vessel Tanker Business on March 27, 2019. Following the spin-off our fleet was comprised of 10 Neo-Panamax container carrier vessels and one Capesize bulk carrier vessel. In 2020 we completed the acquisition of three Neo-Panamax container carrier vessels and in the first half of 2021 the acquisition of three Panamax container carrier vessels. During the second half of 2021 we completed the acquisition of six LNG/C vessels while in May and December 2021, respectively, we completed the sale of two Neo-Panamax container carrier vessels. On June 6, 2022, we agreed to acquire, upon their respective delivery from the shipyard, one LNG/C and three Neo-Panamax container carrier vessels. The LNG/C was delivered in February 2023 and two of the Neo-Panamax container carriers were delivered in October 2022 and January 2023, respectively, while the third Neo-Panamax container carrier is scheduled for delivery in June 2023. In July 2022 we also completed the sale of two Neo-Panamax container carrier vessels.</w:t>
      </w:r>
    </w:p>
    <w:p>
      <w:pPr>
        <w:spacing w:after="0" w:line="181"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As a result, we currently own 22 vessels including, 11 Neo-Panamax container carrier vessels (1.1 million DWT and total TEU capacity of 90,889) with a DWT weighted average age as at March 31, 2023, of approximately 7.8 years, three Panamax container carrier vessels (0.2 million DWT and total TEU capacity of 15,267) with a DWT weighted average age as at March 31, 2023, of approximately 14.9 years, one Capesize bulk carrier vessel (0.2 million DWT) with an age as at March 31, 2023, of approximately 12.7 years and seven LNG carrier vessels (0.6 million DWT and total capacity of 1.2 million CBM) with an DWT weighted average age as at March 31, 2023, of approximately 1.6 years. This excludes one Neo-Panamax container carrier that we have agreed to acquire and is expected to be delivered in the second quarter of 2023.</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intend, subject to prevailing shipping, charter and financing market conditions, to make strategic acquisitions in a prudent manner that is accretive to our unitholders and to long-term distributable cash flow growth. In addition, we may pursue opportunities for acquisitions of, or combinations with, other shipping businesses.</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table below provides summary information about the vessels in our current fleet, as well as their delivery date or expected delivery date to us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All of the vessels in our fleet are or were designed, constructed, inspected and tested in accordance with the rules and regulations of Lloyd’s Register of Shipping (“Lloyd’s”), Bureau Veritas (“BV”), DNV GL, Korean Register (“KR”) or the American Bureau of Shipping (“ABS”).</w:t>
      </w:r>
    </w:p>
    <w:p>
      <w:pPr>
        <w:spacing w:after="0" w:line="19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VESSELS IN OUR FLEET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left="257"/>
              <w:spacing w:after="0" w:line="172" w:lineRule="exact"/>
              <w:rPr>
                <w:sz w:val="20"/>
                <w:szCs w:val="20"/>
                <w:color w:val="auto"/>
              </w:rPr>
            </w:pPr>
            <w:r>
              <w:rPr>
                <w:rFonts w:ascii="Times New Roman" w:cs="Times New Roman" w:eastAsia="Times New Roman" w:hAnsi="Times New Roman"/>
                <w:sz w:val="17"/>
                <w:szCs w:val="17"/>
                <w:b w:val="1"/>
                <w:bCs w:val="1"/>
                <w:color w:val="auto"/>
                <w:w w:val="96"/>
              </w:rPr>
              <w:t>Sister</w:t>
            </w:r>
          </w:p>
        </w:tc>
        <w:tc>
          <w:tcPr>
            <w:tcW w:w="5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7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Management</w:t>
            </w:r>
          </w:p>
        </w:tc>
        <w:tc>
          <w:tcPr>
            <w:tcW w:w="9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9"/>
              </w:rPr>
              <w:t>Charter</w:t>
            </w:r>
          </w:p>
        </w:tc>
        <w:tc>
          <w:tcPr>
            <w:tcW w:w="10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Expiry of</w:t>
            </w:r>
          </w:p>
        </w:tc>
        <w:tc>
          <w:tcPr>
            <w:tcW w:w="10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Vessel Name</w:t>
            </w:r>
          </w:p>
        </w:tc>
        <w:tc>
          <w:tcPr>
            <w:tcW w:w="1060" w:type="dxa"/>
            <w:vAlign w:val="bottom"/>
            <w:gridSpan w:val="2"/>
            <w:vMerge w:val="restart"/>
          </w:tcPr>
          <w:p>
            <w:pPr>
              <w:jc w:val="center"/>
              <w:ind w:left="277"/>
              <w:spacing w:after="0"/>
              <w:rPr>
                <w:sz w:val="20"/>
                <w:szCs w:val="20"/>
                <w:color w:val="auto"/>
              </w:rPr>
            </w:pPr>
            <w:r>
              <w:rPr>
                <w:rFonts w:ascii="Times New Roman" w:cs="Times New Roman" w:eastAsia="Times New Roman" w:hAnsi="Times New Roman"/>
                <w:sz w:val="17"/>
                <w:szCs w:val="17"/>
                <w:b w:val="1"/>
                <w:bCs w:val="1"/>
                <w:color w:val="auto"/>
                <w:w w:val="96"/>
              </w:rPr>
              <w:t>Vessels</w:t>
            </w:r>
          </w:p>
        </w:tc>
        <w:tc>
          <w:tcPr>
            <w:tcW w:w="560" w:type="dxa"/>
            <w:vAlign w:val="bottom"/>
            <w:vMerge w:val="continue"/>
          </w:tcPr>
          <w:p>
            <w:pPr>
              <w:spacing w:after="0"/>
              <w:rPr>
                <w:sz w:val="8"/>
                <w:szCs w:val="8"/>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DWT-TEU-CBM (5)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Agreement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Duration</w:t>
            </w:r>
          </w:p>
        </w:tc>
        <w:tc>
          <w:tcPr>
            <w:tcW w:w="1000" w:type="dxa"/>
            <w:vAlign w:val="bottom"/>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Charterer</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Description</w:t>
            </w:r>
          </w:p>
        </w:tc>
        <w:tc>
          <w:tcPr>
            <w:tcW w:w="0" w:type="dxa"/>
            <w:vAlign w:val="bottom"/>
          </w:tcPr>
          <w:p>
            <w:pPr>
              <w:spacing w:after="0"/>
              <w:rPr>
                <w:sz w:val="1"/>
                <w:szCs w:val="1"/>
                <w:color w:val="auto"/>
              </w:rPr>
            </w:pPr>
          </w:p>
        </w:tc>
      </w:tr>
      <w:tr>
        <w:trPr>
          <w:trHeight w:val="100"/>
        </w:trPr>
        <w:tc>
          <w:tcPr>
            <w:tcW w:w="2140" w:type="dxa"/>
            <w:vAlign w:val="bottom"/>
            <w:gridSpan w:val="4"/>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Built</w:t>
            </w:r>
          </w:p>
        </w:tc>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Charter (4)</w:t>
            </w:r>
          </w:p>
        </w:tc>
        <w:tc>
          <w:tcPr>
            <w:tcW w:w="10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vMerge w:val="restart"/>
          </w:tcPr>
          <w:p>
            <w:pPr>
              <w:jc w:val="center"/>
              <w:ind w:left="257"/>
              <w:spacing w:after="0"/>
              <w:rPr>
                <w:sz w:val="20"/>
                <w:szCs w:val="20"/>
                <w:color w:val="auto"/>
              </w:rPr>
            </w:pPr>
            <w:r>
              <w:rPr>
                <w:rFonts w:ascii="Times New Roman" w:cs="Times New Roman" w:eastAsia="Times New Roman" w:hAnsi="Times New Roman"/>
                <w:sz w:val="17"/>
                <w:szCs w:val="17"/>
                <w:b w:val="1"/>
                <w:bCs w:val="1"/>
                <w:color w:val="auto"/>
              </w:rPr>
              <w:t>(1)</w:t>
            </w:r>
          </w:p>
        </w:tc>
        <w:tc>
          <w:tcPr>
            <w:tcW w:w="5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Expiration (2)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 Type (3)</w:t>
            </w:r>
          </w:p>
        </w:tc>
        <w:tc>
          <w:tcPr>
            <w:tcW w:w="10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140" w:type="dxa"/>
            <w:vAlign w:val="bottom"/>
            <w:gridSpan w:val="4"/>
            <w:shd w:val="clear" w:color="auto" w:fill="CCEEFF"/>
          </w:tcPr>
          <w:p>
            <w:pPr>
              <w:ind w:left="100"/>
              <w:spacing w:after="0" w:line="155" w:lineRule="exact"/>
              <w:rPr>
                <w:sz w:val="20"/>
                <w:szCs w:val="20"/>
                <w:color w:val="auto"/>
              </w:rPr>
            </w:pPr>
            <w:r>
              <w:rPr>
                <w:rFonts w:ascii="Times New Roman" w:cs="Times New Roman" w:eastAsia="Times New Roman" w:hAnsi="Times New Roman"/>
                <w:sz w:val="17"/>
                <w:szCs w:val="17"/>
                <w:b w:val="1"/>
                <w:bCs w:val="1"/>
                <w:color w:val="auto"/>
              </w:rPr>
              <w:t>DRYBULK VESSEL</w:t>
            </w: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shd w:val="clear" w:color="auto" w:fill="CCEEFF"/>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Cape Agamemnon</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w w:val="97"/>
              </w:rPr>
              <w:t>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2010</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179,221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Spot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8"/>
              </w:rPr>
              <w:t>Cape Size Dry</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Cargo</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200" w:type="dxa"/>
            <w:vAlign w:val="bottom"/>
            <w:gridSpan w:val="6"/>
            <w:shd w:val="clear" w:color="auto" w:fill="CCEEFF"/>
          </w:tcPr>
          <w:p>
            <w:pPr>
              <w:ind w:left="100"/>
              <w:spacing w:after="0" w:line="163" w:lineRule="exact"/>
              <w:rPr>
                <w:sz w:val="20"/>
                <w:szCs w:val="20"/>
                <w:color w:val="auto"/>
              </w:rPr>
            </w:pPr>
            <w:r>
              <w:rPr>
                <w:rFonts w:ascii="Times New Roman" w:cs="Times New Roman" w:eastAsia="Times New Roman" w:hAnsi="Times New Roman"/>
                <w:sz w:val="17"/>
                <w:szCs w:val="17"/>
                <w:b w:val="1"/>
                <w:bCs w:val="1"/>
                <w:color w:val="auto"/>
              </w:rPr>
              <w:t>CONTAINER CARRIER VESSELS</w:t>
            </w:r>
          </w:p>
        </w:tc>
        <w:tc>
          <w:tcPr>
            <w:tcW w:w="5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0" w:type="dxa"/>
            <w:vAlign w:val="bottom"/>
            <w:shd w:val="clear" w:color="auto" w:fill="CCEEFF"/>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 xml:space="preserve">Manzanillo Express </w:t>
            </w:r>
            <w:r>
              <w:rPr>
                <w:rFonts w:ascii="Times New Roman" w:cs="Times New Roman" w:eastAsia="Times New Roman" w:hAnsi="Times New Roman"/>
                <w:sz w:val="27"/>
                <w:szCs w:val="27"/>
                <w:color w:val="auto"/>
                <w:vertAlign w:val="superscript"/>
              </w:rPr>
              <w:t>(11)</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rPr>
              <w:t>B</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2022</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142,411-13,312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Oct-27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4"/>
              </w:rPr>
              <w:t>Jul-32</w:t>
            </w: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7"/>
              </w:rPr>
              <w:t>Dual Fuel Eco</w:t>
            </w:r>
          </w:p>
        </w:tc>
        <w:tc>
          <w:tcPr>
            <w:tcW w:w="0" w:type="dxa"/>
            <w:vAlign w:val="bottom"/>
          </w:tcPr>
          <w:p>
            <w:pPr>
              <w:spacing w:after="0"/>
              <w:rPr>
                <w:sz w:val="1"/>
                <w:szCs w:val="1"/>
                <w:color w:val="auto"/>
              </w:rPr>
            </w:pPr>
          </w:p>
        </w:tc>
      </w:tr>
      <w:tr>
        <w:trPr>
          <w:trHeight w:val="167"/>
        </w:trPr>
        <w:tc>
          <w:tcPr>
            <w:tcW w:w="214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Itajai Express </w:t>
            </w:r>
            <w:r>
              <w:rPr>
                <w:rFonts w:ascii="Times New Roman" w:cs="Times New Roman" w:eastAsia="Times New Roman" w:hAnsi="Times New Roman"/>
                <w:sz w:val="27"/>
                <w:szCs w:val="27"/>
                <w:color w:val="auto"/>
                <w:vertAlign w:val="superscript"/>
              </w:rPr>
              <w:t>(11)</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B</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142,411-13,312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Jan-28</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Oct-32</w:t>
            </w:r>
          </w:p>
        </w:tc>
        <w:tc>
          <w:tcPr>
            <w:tcW w:w="10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7"/>
              </w:rPr>
              <w:t>Dual Fuel Eco</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vMerge w:val="continue"/>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780" w:type="dxa"/>
            <w:vAlign w:val="bottom"/>
            <w:tcBorders>
              <w:bottom w:val="single" w:sz="8" w:color="CCEEFF"/>
            </w:tcBorders>
            <w:vMerge w:val="continue"/>
            <w:shd w:val="clear" w:color="auto" w:fill="CCEEFF"/>
          </w:tcPr>
          <w:p>
            <w:pPr>
              <w:spacing w:after="0"/>
              <w:rPr>
                <w:sz w:val="17"/>
                <w:szCs w:val="17"/>
                <w:color w:val="auto"/>
              </w:rPr>
            </w:pPr>
          </w:p>
        </w:tc>
        <w:tc>
          <w:tcPr>
            <w:tcW w:w="1240" w:type="dxa"/>
            <w:vAlign w:val="bottom"/>
            <w:tcBorders>
              <w:bottom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Hyundai Prestige</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rPr>
              <w:t>C</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2013</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63,010-5,023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12-yr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Dec-24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HMM</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 Wide Beam</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Hyundai Premium</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C</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2013</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63,010-5,023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Jan-25</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HMM</w:t>
            </w:r>
          </w:p>
        </w:tc>
        <w:tc>
          <w:tcPr>
            <w:tcW w:w="15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 Wide Beam</w:t>
            </w:r>
          </w:p>
        </w:tc>
        <w:tc>
          <w:tcPr>
            <w:tcW w:w="0" w:type="dxa"/>
            <w:vAlign w:val="bottom"/>
          </w:tcPr>
          <w:p>
            <w:pPr>
              <w:spacing w:after="0"/>
              <w:rPr>
                <w:sz w:val="1"/>
                <w:szCs w:val="1"/>
                <w:color w:val="auto"/>
              </w:rPr>
            </w:pPr>
          </w:p>
        </w:tc>
      </w:tr>
      <w:tr>
        <w:trPr>
          <w:trHeight w:val="117"/>
        </w:trPr>
        <w:tc>
          <w:tcPr>
            <w:tcW w:w="2140" w:type="dxa"/>
            <w:vAlign w:val="bottom"/>
            <w:gridSpan w:val="4"/>
            <w:vMerge w:val="continue"/>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00"/>
        </w:trPr>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Hyundai Paramount</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rPr>
              <w:t>C</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2013</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63,010-5,023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12-yr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Feb-25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HMM</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 Wide Beam</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Hyundai Privilege</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C</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2013</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63,010-5,023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Mar-25</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HMM</w:t>
            </w:r>
          </w:p>
        </w:tc>
        <w:tc>
          <w:tcPr>
            <w:tcW w:w="15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 Wide Beam</w:t>
            </w:r>
          </w:p>
        </w:tc>
        <w:tc>
          <w:tcPr>
            <w:tcW w:w="0" w:type="dxa"/>
            <w:vAlign w:val="bottom"/>
          </w:tcPr>
          <w:p>
            <w:pPr>
              <w:spacing w:after="0"/>
              <w:rPr>
                <w:sz w:val="1"/>
                <w:szCs w:val="1"/>
                <w:color w:val="auto"/>
              </w:rPr>
            </w:pPr>
          </w:p>
        </w:tc>
      </w:tr>
      <w:tr>
        <w:trPr>
          <w:trHeight w:val="117"/>
        </w:trPr>
        <w:tc>
          <w:tcPr>
            <w:tcW w:w="2140" w:type="dxa"/>
            <w:vAlign w:val="bottom"/>
            <w:gridSpan w:val="4"/>
            <w:vMerge w:val="continue"/>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00"/>
        </w:trPr>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Hyundai Platinum</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rPr>
              <w:t>C</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2013</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63,010-5,023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12-yr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Apr-25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HMM</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 Wide Beam</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Akadimos</w:t>
            </w:r>
            <w:r>
              <w:rPr>
                <w:rFonts w:ascii="Times New Roman" w:cs="Times New Roman" w:eastAsia="Times New Roman" w:hAnsi="Times New Roman"/>
                <w:sz w:val="27"/>
                <w:szCs w:val="27"/>
                <w:color w:val="auto"/>
                <w:vertAlign w:val="superscript"/>
              </w:rPr>
              <w:t>(12)</w:t>
            </w: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Eco-Flex Wide</w:t>
            </w:r>
          </w:p>
        </w:tc>
        <w:tc>
          <w:tcPr>
            <w:tcW w:w="0" w:type="dxa"/>
            <w:vAlign w:val="bottom"/>
          </w:tcPr>
          <w:p>
            <w:pPr>
              <w:spacing w:after="0"/>
              <w:rPr>
                <w:sz w:val="1"/>
                <w:szCs w:val="1"/>
                <w:color w:val="auto"/>
              </w:rPr>
            </w:pPr>
          </w:p>
        </w:tc>
      </w:tr>
      <w:tr>
        <w:trPr>
          <w:trHeight w:val="200"/>
        </w:trPr>
        <w:tc>
          <w:tcPr>
            <w:tcW w:w="2140" w:type="dxa"/>
            <w:vAlign w:val="bottom"/>
            <w:gridSpan w:val="4"/>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7"/>
              </w:rPr>
              <w:t>D</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2015</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115,534-9,288 TEU</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Aug-24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2-yr 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Mar-25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CMA CGM</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Beam Container</w:t>
            </w: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Carrier</w:t>
            </w: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Athos</w:t>
            </w:r>
          </w:p>
        </w:tc>
        <w:tc>
          <w:tcPr>
            <w:tcW w:w="560" w:type="dxa"/>
            <w:vAlign w:val="bottom"/>
          </w:tcPr>
          <w:p>
            <w:pPr>
              <w:spacing w:after="0"/>
              <w:rPr>
                <w:sz w:val="15"/>
                <w:szCs w:val="15"/>
                <w:color w:val="auto"/>
              </w:rPr>
            </w:pPr>
          </w:p>
        </w:tc>
        <w:tc>
          <w:tcPr>
            <w:tcW w:w="5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7"/>
                <w:szCs w:val="17"/>
                <w:color w:val="auto"/>
                <w:w w:val="95"/>
              </w:rPr>
              <w:t>E</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2011</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118,888-9,954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Jan-25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6.8-yr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Apr-26</w:t>
            </w: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Aristomenis</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5"/>
              </w:rPr>
              <w:t>E</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2011</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118,712-9,954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Jan-25</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7.5-yr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Apr-26</w:t>
            </w:r>
          </w:p>
        </w:tc>
        <w:tc>
          <w:tcPr>
            <w:tcW w:w="10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17"/>
        </w:trPr>
        <w:tc>
          <w:tcPr>
            <w:tcW w:w="2140" w:type="dxa"/>
            <w:vAlign w:val="bottom"/>
            <w:gridSpan w:val="4"/>
            <w:vMerge w:val="continue"/>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Athenian</w:t>
            </w:r>
          </w:p>
        </w:tc>
        <w:tc>
          <w:tcPr>
            <w:tcW w:w="560" w:type="dxa"/>
            <w:vAlign w:val="bottom"/>
          </w:tcPr>
          <w:p>
            <w:pPr>
              <w:spacing w:after="0"/>
              <w:rPr>
                <w:sz w:val="15"/>
                <w:szCs w:val="15"/>
                <w:color w:val="auto"/>
              </w:rPr>
            </w:pPr>
          </w:p>
        </w:tc>
        <w:tc>
          <w:tcPr>
            <w:tcW w:w="5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7"/>
                <w:szCs w:val="17"/>
                <w:color w:val="auto"/>
                <w:w w:val="95"/>
              </w:rPr>
              <w:t>E</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2011</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118,834-9,954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Jan-25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6.8-yr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Apr-26</w:t>
            </w: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17"/>
        </w:trPr>
        <w:tc>
          <w:tcPr>
            <w:tcW w:w="21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Long Beach Express </w:t>
            </w:r>
            <w:r>
              <w:rPr>
                <w:rFonts w:ascii="Times New Roman" w:cs="Times New Roman" w:eastAsia="Times New Roman" w:hAnsi="Times New Roman"/>
                <w:sz w:val="27"/>
                <w:szCs w:val="27"/>
                <w:color w:val="auto"/>
                <w:vertAlign w:val="superscript"/>
              </w:rPr>
              <w:t>(6)</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84"/>
              </w:rPr>
              <w:t>F</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2008</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68,618-5,089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Feb-26</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4.7-yr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Jun-25</w:t>
            </w:r>
          </w:p>
        </w:tc>
        <w:tc>
          <w:tcPr>
            <w:tcW w:w="10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vMerge w:val="continue"/>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780" w:type="dxa"/>
            <w:vAlign w:val="bottom"/>
            <w:tcBorders>
              <w:bottom w:val="single" w:sz="8" w:color="CCEEFF"/>
            </w:tcBorders>
            <w:vMerge w:val="continue"/>
            <w:shd w:val="clear" w:color="auto" w:fill="CCEEFF"/>
          </w:tcPr>
          <w:p>
            <w:pPr>
              <w:spacing w:after="0"/>
              <w:rPr>
                <w:sz w:val="17"/>
                <w:szCs w:val="17"/>
                <w:color w:val="auto"/>
              </w:rPr>
            </w:pPr>
          </w:p>
        </w:tc>
        <w:tc>
          <w:tcPr>
            <w:tcW w:w="1240" w:type="dxa"/>
            <w:vAlign w:val="bottom"/>
            <w:tcBorders>
              <w:bottom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 xml:space="preserve">Seattle Express </w:t>
            </w:r>
            <w:r>
              <w:rPr>
                <w:rFonts w:ascii="Times New Roman" w:cs="Times New Roman" w:eastAsia="Times New Roman" w:hAnsi="Times New Roman"/>
                <w:sz w:val="27"/>
                <w:szCs w:val="27"/>
                <w:color w:val="auto"/>
                <w:vertAlign w:val="superscript"/>
              </w:rPr>
              <w:t>(6)</w:t>
            </w:r>
          </w:p>
        </w:tc>
        <w:tc>
          <w:tcPr>
            <w:tcW w:w="560" w:type="dxa"/>
            <w:vAlign w:val="bottom"/>
          </w:tcPr>
          <w:p>
            <w:pPr>
              <w:spacing w:after="0"/>
              <w:rPr>
                <w:sz w:val="15"/>
                <w:szCs w:val="15"/>
                <w:color w:val="auto"/>
              </w:rPr>
            </w:pPr>
          </w:p>
        </w:tc>
        <w:tc>
          <w:tcPr>
            <w:tcW w:w="5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7"/>
                <w:szCs w:val="17"/>
                <w:color w:val="auto"/>
                <w:w w:val="84"/>
              </w:rPr>
              <w:t>F</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2008</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68,411-5,089 TEU</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Feb-26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4.7-yr TC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Sep-25</w:t>
            </w: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67"/>
        </w:trPr>
        <w:tc>
          <w:tcPr>
            <w:tcW w:w="214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1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Fos Express </w:t>
            </w:r>
            <w:r>
              <w:rPr>
                <w:rFonts w:ascii="Times New Roman" w:cs="Times New Roman" w:eastAsia="Times New Roman" w:hAnsi="Times New Roman"/>
                <w:sz w:val="27"/>
                <w:szCs w:val="27"/>
                <w:color w:val="auto"/>
                <w:vertAlign w:val="superscript"/>
              </w:rPr>
              <w:t>(6)</w:t>
            </w:r>
          </w:p>
        </w:tc>
        <w:tc>
          <w:tcPr>
            <w:tcW w:w="5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84"/>
              </w:rPr>
              <w:t>F</w:t>
            </w: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2008</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68,579-5,089 TEU</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Feb-26</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4.7-yr TC</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Sep-25</w:t>
            </w:r>
          </w:p>
        </w:tc>
        <w:tc>
          <w:tcPr>
            <w:tcW w:w="10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Hapag-</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Container Carrier</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vMerge w:val="continue"/>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780" w:type="dxa"/>
            <w:vAlign w:val="bottom"/>
            <w:tcBorders>
              <w:bottom w:val="single" w:sz="8" w:color="CCEEFF"/>
            </w:tcBorders>
            <w:vMerge w:val="continue"/>
            <w:shd w:val="clear" w:color="auto" w:fill="CCEEFF"/>
          </w:tcPr>
          <w:p>
            <w:pPr>
              <w:spacing w:after="0"/>
              <w:rPr>
                <w:sz w:val="17"/>
                <w:szCs w:val="17"/>
                <w:color w:val="auto"/>
              </w:rPr>
            </w:pPr>
          </w:p>
        </w:tc>
        <w:tc>
          <w:tcPr>
            <w:tcW w:w="1240" w:type="dxa"/>
            <w:vAlign w:val="bottom"/>
            <w:tcBorders>
              <w:bottom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Lloyd</w:t>
            </w:r>
          </w:p>
        </w:tc>
        <w:tc>
          <w:tcPr>
            <w:tcW w:w="15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140" w:type="dxa"/>
            <w:vAlign w:val="bottom"/>
            <w:gridSpan w:val="4"/>
          </w:tcPr>
          <w:p>
            <w:pPr>
              <w:ind w:left="100"/>
              <w:spacing w:after="0" w:line="163" w:lineRule="exact"/>
              <w:rPr>
                <w:sz w:val="20"/>
                <w:szCs w:val="20"/>
                <w:color w:val="auto"/>
              </w:rPr>
            </w:pPr>
            <w:r>
              <w:rPr>
                <w:rFonts w:ascii="Times New Roman" w:cs="Times New Roman" w:eastAsia="Times New Roman" w:hAnsi="Times New Roman"/>
                <w:sz w:val="17"/>
                <w:szCs w:val="17"/>
                <w:b w:val="1"/>
                <w:bCs w:val="1"/>
                <w:color w:val="auto"/>
              </w:rPr>
              <w:t>LNG/C VESSELS</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140" w:type="dxa"/>
            <w:vAlign w:val="bottom"/>
            <w:gridSpan w:val="4"/>
            <w:shd w:val="clear" w:color="auto" w:fill="CCEEFF"/>
          </w:tcPr>
          <w:p>
            <w:pPr>
              <w:ind w:left="100"/>
              <w:spacing w:after="0" w:line="246" w:lineRule="exact"/>
              <w:rPr>
                <w:sz w:val="20"/>
                <w:szCs w:val="20"/>
                <w:color w:val="auto"/>
              </w:rPr>
            </w:pPr>
            <w:r>
              <w:rPr>
                <w:rFonts w:ascii="Times New Roman" w:cs="Times New Roman" w:eastAsia="Times New Roman" w:hAnsi="Times New Roman"/>
                <w:sz w:val="17"/>
                <w:szCs w:val="17"/>
                <w:color w:val="auto"/>
              </w:rPr>
              <w:t xml:space="preserve">Aristos I </w:t>
            </w:r>
            <w:r>
              <w:rPr>
                <w:rFonts w:ascii="Times New Roman" w:cs="Times New Roman" w:eastAsia="Times New Roman" w:hAnsi="Times New Roman"/>
                <w:sz w:val="27"/>
                <w:szCs w:val="27"/>
                <w:color w:val="auto"/>
                <w:vertAlign w:val="superscript"/>
              </w:rPr>
              <w:t>(7)</w:t>
            </w:r>
          </w:p>
        </w:tc>
        <w:tc>
          <w:tcPr>
            <w:tcW w:w="5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81,978-174,000 CBM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Sep-26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5-yr 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BP</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gridSpan w:val="4"/>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Aristarchos </w:t>
            </w:r>
            <w:r>
              <w:rPr>
                <w:rFonts w:ascii="Times New Roman" w:cs="Times New Roman" w:eastAsia="Times New Roman" w:hAnsi="Times New Roman"/>
                <w:sz w:val="27"/>
                <w:szCs w:val="27"/>
                <w:color w:val="auto"/>
                <w:vertAlign w:val="superscript"/>
              </w:rPr>
              <w:t>(8)</w:t>
            </w:r>
          </w:p>
        </w:tc>
        <w:tc>
          <w:tcPr>
            <w:tcW w:w="560" w:type="dxa"/>
            <w:vAlign w:val="bottom"/>
          </w:tcPr>
          <w:p>
            <w:pPr>
              <w:spacing w:after="0"/>
              <w:rPr>
                <w:sz w:val="20"/>
                <w:szCs w:val="20"/>
                <w:color w:val="auto"/>
              </w:rPr>
            </w:pPr>
          </w:p>
        </w:tc>
        <w:tc>
          <w:tcPr>
            <w:tcW w:w="50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81,956-174,000 CBM</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Sep-26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10-yr TC</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May-31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Cheniere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gridSpan w:val="4"/>
            <w:shd w:val="clear" w:color="auto" w:fill="CCEEFF"/>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Aristidis I </w:t>
            </w:r>
            <w:r>
              <w:rPr>
                <w:rFonts w:ascii="Times New Roman" w:cs="Times New Roman" w:eastAsia="Times New Roman" w:hAnsi="Times New Roman"/>
                <w:sz w:val="27"/>
                <w:szCs w:val="27"/>
                <w:color w:val="auto"/>
                <w:vertAlign w:val="superscript"/>
              </w:rPr>
              <w:t>(7)</w:t>
            </w: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81,898-174,000 CBM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Dec-26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5-yr 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Dec-25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BP</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gridSpan w:val="4"/>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Attalos </w:t>
            </w:r>
            <w:r>
              <w:rPr>
                <w:rFonts w:ascii="Times New Roman" w:cs="Times New Roman" w:eastAsia="Times New Roman" w:hAnsi="Times New Roman"/>
                <w:sz w:val="27"/>
                <w:szCs w:val="27"/>
                <w:color w:val="auto"/>
                <w:vertAlign w:val="superscript"/>
              </w:rPr>
              <w:t>(7)</w:t>
            </w:r>
          </w:p>
        </w:tc>
        <w:tc>
          <w:tcPr>
            <w:tcW w:w="560" w:type="dxa"/>
            <w:vAlign w:val="bottom"/>
          </w:tcPr>
          <w:p>
            <w:pPr>
              <w:spacing w:after="0"/>
              <w:rPr>
                <w:sz w:val="20"/>
                <w:szCs w:val="20"/>
                <w:color w:val="auto"/>
              </w:rPr>
            </w:pPr>
          </w:p>
        </w:tc>
        <w:tc>
          <w:tcPr>
            <w:tcW w:w="50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81,850-174,000 CBM</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Nov-26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4.2-yr TC</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BP</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gridSpan w:val="4"/>
            <w:shd w:val="clear" w:color="auto" w:fill="CCEEFF"/>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Adamastos </w:t>
            </w:r>
            <w:r>
              <w:rPr>
                <w:rFonts w:ascii="Times New Roman" w:cs="Times New Roman" w:eastAsia="Times New Roman" w:hAnsi="Times New Roman"/>
                <w:sz w:val="27"/>
                <w:szCs w:val="27"/>
                <w:color w:val="auto"/>
                <w:vertAlign w:val="superscript"/>
              </w:rPr>
              <w:t>(9)</w:t>
            </w: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82,095-174,000 CBM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Nov-26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7.2-yr 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Sep-28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Engie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gridSpan w:val="4"/>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Asklipios </w:t>
            </w:r>
            <w:r>
              <w:rPr>
                <w:rFonts w:ascii="Times New Roman" w:cs="Times New Roman" w:eastAsia="Times New Roman" w:hAnsi="Times New Roman"/>
                <w:sz w:val="27"/>
                <w:szCs w:val="27"/>
                <w:color w:val="auto"/>
                <w:vertAlign w:val="superscript"/>
              </w:rPr>
              <w:t>(8)</w:t>
            </w:r>
          </w:p>
        </w:tc>
        <w:tc>
          <w:tcPr>
            <w:tcW w:w="560" w:type="dxa"/>
            <w:vAlign w:val="bottom"/>
          </w:tcPr>
          <w:p>
            <w:pPr>
              <w:spacing w:after="0"/>
              <w:rPr>
                <w:sz w:val="20"/>
                <w:szCs w:val="20"/>
                <w:color w:val="auto"/>
              </w:rPr>
            </w:pPr>
          </w:p>
        </w:tc>
        <w:tc>
          <w:tcPr>
            <w:tcW w:w="50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81,882-174,000 CBM</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Nov-26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10-yr TC</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Aug-31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Cheniere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38"/>
        </w:trPr>
        <w:tc>
          <w:tcPr>
            <w:tcW w:w="2140" w:type="dxa"/>
            <w:vAlign w:val="bottom"/>
            <w:tcBorders>
              <w:bottom w:val="single" w:sz="8" w:color="auto"/>
            </w:tcBorders>
            <w:gridSpan w:val="4"/>
            <w:shd w:val="clear" w:color="auto" w:fill="CCEEFF"/>
          </w:tcPr>
          <w:p>
            <w:pPr>
              <w:ind w:left="100"/>
              <w:spacing w:after="0" w:line="237" w:lineRule="exact"/>
              <w:rPr>
                <w:sz w:val="20"/>
                <w:szCs w:val="20"/>
                <w:color w:val="auto"/>
              </w:rPr>
            </w:pPr>
            <w:r>
              <w:rPr>
                <w:rFonts w:ascii="Times New Roman" w:cs="Times New Roman" w:eastAsia="Times New Roman" w:hAnsi="Times New Roman"/>
                <w:sz w:val="17"/>
                <w:szCs w:val="17"/>
                <w:color w:val="auto"/>
              </w:rPr>
              <w:t xml:space="preserve">Asterix I </w:t>
            </w:r>
            <w:r>
              <w:rPr>
                <w:rFonts w:ascii="Times New Roman" w:cs="Times New Roman" w:eastAsia="Times New Roman" w:hAnsi="Times New Roman"/>
                <w:sz w:val="27"/>
                <w:szCs w:val="27"/>
                <w:color w:val="auto"/>
                <w:vertAlign w:val="superscript"/>
              </w:rPr>
              <w:t>(10)</w:t>
            </w:r>
          </w:p>
        </w:tc>
        <w:tc>
          <w:tcPr>
            <w:tcW w:w="5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7"/>
              </w:rPr>
              <w:t>G</w:t>
            </w:r>
          </w:p>
        </w:tc>
        <w:tc>
          <w:tcPr>
            <w:tcW w:w="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81,932-174,000 CBM</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Feb-28</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7-yr TC</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Dec-29</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Hartree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LNG/C</w:t>
            </w:r>
          </w:p>
        </w:tc>
        <w:tc>
          <w:tcPr>
            <w:tcW w:w="0" w:type="dxa"/>
            <w:vAlign w:val="bottom"/>
          </w:tcPr>
          <w:p>
            <w:pPr>
              <w:spacing w:after="0"/>
              <w:rPr>
                <w:sz w:val="1"/>
                <w:szCs w:val="1"/>
                <w:color w:val="auto"/>
              </w:rPr>
            </w:pPr>
          </w:p>
        </w:tc>
      </w:tr>
      <w:tr>
        <w:trPr>
          <w:trHeight w:val="213"/>
        </w:trPr>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TOTAL FLEET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2,030,260 DWT-106,156 TEU-1,218,000 CBM</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160"/>
        <w:spacing w:after="0" w:line="275" w:lineRule="auto"/>
        <w:tabs>
          <w:tab w:leader="none" w:pos="4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Sister vessels and shipyards of origin are denoted in the tables by the following letters: (A) this vessel was built by Sungdong Shipbuilding &amp; Marine Engineering Co., Ltd., South Korea; (B): these vessels were built by Hyundai Samho Heavy Industries Co. Ltd; (C): these vessels were built by Hyundai Heavy Industries Co. Ltd, South Korea; (D): these vessels were built by Daewoo-Mangalia Heavy Industries S.A; (E): these vessels were built by Samsung Heavy Industries Co. Ltd; (F): these vessels were built by Hanjin Heavy Industries &amp; Construction Co., Ltd.; and (G): these vessels were built by Hyundai Heavy Industries Co., Ltd.</w:t>
      </w:r>
    </w:p>
    <w:p>
      <w:pPr>
        <w:spacing w:after="0" w:line="158" w:lineRule="exact"/>
        <w:rPr>
          <w:rFonts w:ascii="Times New Roman" w:cs="Times New Roman" w:eastAsia="Times New Roman" w:hAnsi="Times New Roman"/>
          <w:sz w:val="16"/>
          <w:szCs w:val="16"/>
          <w:color w:val="auto"/>
        </w:rPr>
      </w:pPr>
    </w:p>
    <w:p>
      <w:pPr>
        <w:ind w:right="680"/>
        <w:spacing w:after="0" w:line="272" w:lineRule="auto"/>
        <w:tabs>
          <w:tab w:leader="none" w:pos="48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vessels are managed under floating fee management agreements entered into with our Managers. For additional details regarding our management agreement, please see “—Our Management Agreements” above.</w:t>
      </w:r>
    </w:p>
    <w:p>
      <w:pPr>
        <w:spacing w:after="0" w:line="158"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TC: Time Charter.</w:t>
      </w:r>
    </w:p>
    <w:p>
      <w:pPr>
        <w:spacing w:after="0" w:line="205"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Earliest possible redelivery date.</w:t>
      </w:r>
    </w:p>
    <w:p>
      <w:pPr>
        <w:spacing w:after="0" w:line="205"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DWT: Dead Weight Ton, TEU: Twenty-foot Equivalent Units, CBM: Cubic Meter.</w:t>
      </w:r>
    </w:p>
    <w:p>
      <w:pPr>
        <w:spacing w:after="0" w:line="205" w:lineRule="exact"/>
        <w:rPr>
          <w:rFonts w:ascii="Times New Roman" w:cs="Times New Roman" w:eastAsia="Times New Roman" w:hAnsi="Times New Roman"/>
          <w:sz w:val="17"/>
          <w:szCs w:val="17"/>
          <w:color w:val="auto"/>
        </w:rPr>
      </w:pPr>
    </w:p>
    <w:p>
      <w:pPr>
        <w:jc w:val="both"/>
        <w:spacing w:after="0" w:line="254" w:lineRule="auto"/>
        <w:tabs>
          <w:tab w:leader="none" w:pos="55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2020, each of the vessel-owning companies of the M/V Long Beach Express, the M/V Seattle Express and the M/V Fos Express entered into a time charter agreement with Hapag-Lloyd for a period of 56 to 60 months. The charterer has the option to extend the time charters of the vessels by 24 months (+/- 60 days) plus 12 months (+/- 45 days). The charter of the M/V Long Beach Express commenced in October 2020 and of the M/V Seattle Express and the M/V Fos Express in January 2021.</w:t>
      </w:r>
    </w:p>
    <w:p>
      <w:pPr>
        <w:spacing w:after="0" w:line="74"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44" w:name="page45"/>
    <w:bookmarkEnd w:id="44"/>
    <w:p>
      <w:pPr>
        <w:jc w:val="both"/>
        <w:spacing w:after="0" w:line="252" w:lineRule="auto"/>
        <w:tabs>
          <w:tab w:leader="none" w:pos="49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each of the vessel-owning companies of the LNG/C Aristos I, the LNG/C Aristidis I and the LNG/C Attalos, entered into a time charter agreement with BP for a period of 3 years (+/- 30 days). The charterers have three two-year options (+/- 30 days) and one three-year option (+/- 30 days).The charters of the LNG/C Aristos I and the LNG/C Aristidis I commenced in November 2020 and January 2021 respectively. The charter of the LNG/C Attalos commenced in November 2022, previously the vessel was under a 15-month (+/- 30 days) time charter with BP. In February and March 2023 the charterer exercised its option to extend the time charter of the LNG/C Aristos I and LNG/C Aristidis I by two years (+/- 30 days), respectively.</w:t>
      </w:r>
    </w:p>
    <w:p>
      <w:pPr>
        <w:spacing w:after="0" w:line="176" w:lineRule="exact"/>
        <w:rPr>
          <w:rFonts w:ascii="Times New Roman" w:cs="Times New Roman" w:eastAsia="Times New Roman" w:hAnsi="Times New Roman"/>
          <w:sz w:val="17"/>
          <w:szCs w:val="17"/>
          <w:color w:val="auto"/>
        </w:rPr>
      </w:pPr>
    </w:p>
    <w:p>
      <w:pPr>
        <w:jc w:val="both"/>
        <w:spacing w:after="0" w:line="252" w:lineRule="auto"/>
        <w:tabs>
          <w:tab w:leader="none" w:pos="52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2021, each of the vessel-owning companies of the LNG/C Aristarchos and the LNG/C Asklipios, entered into a time charter agreement with Cheniere until March 15, 2025 (+/- 30 days) and February 5, 2025 (+/- 30 days). Each charter has two one-year options (+/- 30 days). The charters of the LNG/C Aristarchos and the LNG/C Asklipios commenced in June 2021 and September 2021, respectively. In August 2022 both vessels amended their time charter agreement with Cheniere and extended them until June 14, 2031 (+/- 30 days) and September 28, 2031 (+/- 30 days), respectively. After the amendment each charter has two two-year options (+/- 30 days).</w:t>
      </w:r>
    </w:p>
    <w:p>
      <w:pPr>
        <w:spacing w:after="0" w:line="176" w:lineRule="exact"/>
        <w:rPr>
          <w:rFonts w:ascii="Times New Roman" w:cs="Times New Roman" w:eastAsia="Times New Roman" w:hAnsi="Times New Roman"/>
          <w:sz w:val="17"/>
          <w:szCs w:val="17"/>
          <w:color w:val="auto"/>
        </w:rPr>
      </w:pPr>
    </w:p>
    <w:p>
      <w:pPr>
        <w:jc w:val="both"/>
        <w:spacing w:after="0" w:line="259" w:lineRule="auto"/>
        <w:tabs>
          <w:tab w:leader="none" w:pos="50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2021, the vessel-owning company of the LNG/C Adamastos, entered into a time charter agreement with Engie for a period of 1,890 days (+90/-45 days) or for a period of 2,620 days (+90/-45 days) if the charterer exercises its option on or prior to May 2023. The charter of the LNG/C Adamastos commenced in August 2021. In May 2022, the charterer elected the second period of 2,620 days (+90/-45 days).</w:t>
      </w:r>
    </w:p>
    <w:p>
      <w:pPr>
        <w:spacing w:after="0" w:line="168" w:lineRule="exact"/>
        <w:rPr>
          <w:rFonts w:ascii="Times New Roman" w:cs="Times New Roman" w:eastAsia="Times New Roman" w:hAnsi="Times New Roman"/>
          <w:sz w:val="17"/>
          <w:szCs w:val="17"/>
          <w:color w:val="auto"/>
        </w:rPr>
      </w:pPr>
    </w:p>
    <w:p>
      <w:pPr>
        <w:jc w:val="both"/>
        <w:spacing w:after="0" w:line="259" w:lineRule="auto"/>
        <w:tabs>
          <w:tab w:leader="none" w:pos="49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the vessel-owning company of the LNG/C Asterix I, entered into a time charter agreement with Hartree for a period of 1,825 days (+/-60 days) or for a period of 2,555 days (+/-60 days) if the charterer exercises its option on or prior to January 2025. The charter has one two-year option (+/- 30 days). In January 2023, the charterer selected the period of 2,555 days (+/-60 days). The charter of the LNG/C Asterix I commenced in February 2023.</w:t>
      </w:r>
    </w:p>
    <w:p>
      <w:pPr>
        <w:spacing w:after="0" w:line="168" w:lineRule="exact"/>
        <w:rPr>
          <w:rFonts w:ascii="Times New Roman" w:cs="Times New Roman" w:eastAsia="Times New Roman" w:hAnsi="Times New Roman"/>
          <w:sz w:val="17"/>
          <w:szCs w:val="17"/>
          <w:color w:val="auto"/>
        </w:rPr>
      </w:pPr>
    </w:p>
    <w:p>
      <w:pPr>
        <w:jc w:val="both"/>
        <w:spacing w:after="0" w:line="259" w:lineRule="auto"/>
        <w:tabs>
          <w:tab w:leader="none" w:pos="48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2021, the vessel-owning companies of the M/V Manzanillo Express and the M/V Itajai Express, entered into a time charter agreement with Hapag-Lloyd for a period of 120 months (+/-90 days). The charterers have three two-year options (+/- 45 days). The charter of the M/V Manzanillo Express and the M/V Itajai Express commenced in October 2022 and January 2023, respectively.</w:t>
      </w:r>
    </w:p>
    <w:p>
      <w:pPr>
        <w:spacing w:after="0" w:line="168" w:lineRule="exact"/>
        <w:rPr>
          <w:rFonts w:ascii="Times New Roman" w:cs="Times New Roman" w:eastAsia="Times New Roman" w:hAnsi="Times New Roman"/>
          <w:sz w:val="17"/>
          <w:szCs w:val="17"/>
          <w:color w:val="auto"/>
        </w:rPr>
      </w:pPr>
    </w:p>
    <w:p>
      <w:pPr>
        <w:spacing w:after="0" w:line="272" w:lineRule="auto"/>
        <w:tabs>
          <w:tab w:leader="none" w:pos="53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the vessel-owning company of the M/V Akadimos entered into a time charter agreement with CMA CGM for a period of two years (+45/-30 days). The charter of the M/V Akadimos commenced in April, 2023.</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Charters</w:t>
      </w:r>
    </w:p>
    <w:p>
      <w:pPr>
        <w:spacing w:after="0" w:line="209"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Our vessels are chartered with remaining revenue-weighted charter duration of approximately 6.2 years as of March 31, 2023.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“—Our Fleet” above for more information on our time charters, including counterparties, expected expiration dates of the charters and daily charter rates.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Charters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Bareboat Charters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None of our vessels are currently under bareboat charters.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Spot Charters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 spot charter generally refers to a voyage charter or a trip charter or a short-term time charter.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Voyage / Trip Charter</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6"/>
          <w:szCs w:val="16"/>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seek to operate our vessels under medium- to long-term charters and are not generally subject to the effect of seasonable variations in demand.</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Management of Ship Operations, Administration and Safety</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objective is to run our operations in a safe, efficient and cost-effective manner. To that end, our Managers, provide expertise in various functions critical to our operations. Specifically, pursuant to the management and administrative services agreements we have entered into with them, our Managers grant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176"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compliance with the International Maritime Organization’s ISM code, our Managers operate under safety management systems certified by Lloyd’s Register of Shipping (“LRS”). Capital-Executive’s management systems also comply with the Environmental Management Standard ISO 14001, the Occupational Health &amp; Safety Management System ISO 45001 and the Energy Management Standard 50001, all of which are certified by LRS. In addition, Capital-Executive has implemented an “Integrated Management System Approach” verified by the LRS.</w:t>
      </w:r>
    </w:p>
    <w:p>
      <w:pPr>
        <w:spacing w:after="0" w:line="17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One of the key strategies of our Managers is the implementation of a regime of responsible, safe and clean shipping in an effort to operate our vessels in a manner intended to protect the safety and health of our Managers’ employees, the general public and the environment. Our Managers’ senior management teams aim to actively manage the risks inherent in our business and are committed to eliminating incidents that threaten safety, such as groundings, fires, collisions and spills, as well as reducing emissions and waste generation.</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Capital-Executive and Capital Gas currently outsource in part or in full the technical management and crewing of six container carrier vessels and six LNG carrier vessels to third parties.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Crewing and Staff</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Capital-Executive, through a Capital Maritime subsidiary in Romania and crewing offices in Romania, Russia and the Philippines, recruits senior officers and crews for our vessels. Our vessels are currently manned primarily by Romanian and Russian officers and Filipino ratings. We believe that Capital-Executive has significant experience in operating vessels in this configuration and has access to a pool of certified and experienced crew members whom it can recruit to man our vessels.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Capital Gas also recruits crew through a third-party manager.</w:t>
      </w:r>
    </w:p>
    <w:p>
      <w:pPr>
        <w:spacing w:after="0" w:line="205"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LNG vessels are currently manned primarily by Romanian, Ukrainian and Russian officers and Filipino ratings. The continued hostilities between Russia and Ukraine might adversely impact our ability to safely repatriate Russian and Ukrainian officers and make the ability to perform regular crew changes problematic, as travel may not be available. This could impact the smooth operations of vessels as new officers and crews are sourced which may not have the familiarity of the vessel that they are joining. The extent to which this war will impact the Partnership’s future results of operations and financial condition will depend on future developments, which are highly uncertain and cannot be predicted. Accordingly, an estimate of the impact cannot be made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Classification, Inspection and Maintenance</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classification society also undertakes on request other surveys and inspections that are required by regulations and requirements of the flag state administration or port authority.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These surveys are subject to agreements made in each individual case and/or to the regulations of the country concerned.</w:t>
      </w:r>
    </w:p>
    <w:p>
      <w:pPr>
        <w:spacing w:after="0" w:line="20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For the maintenance of the class certificate, regular and occasional surveys of hull and machinery, including the electrical plant, and any special equipment classed are required to be performed as follows:</w:t>
      </w:r>
    </w:p>
    <w:p>
      <w:pPr>
        <w:spacing w:after="0" w:line="158" w:lineRule="exact"/>
        <w:rPr>
          <w:sz w:val="20"/>
          <w:szCs w:val="20"/>
          <w:color w:val="auto"/>
        </w:rPr>
      </w:pPr>
    </w:p>
    <w:p>
      <w:pPr>
        <w:ind w:left="1040" w:right="120" w:hanging="263"/>
        <w:spacing w:after="0" w:line="272" w:lineRule="auto"/>
        <w:tabs>
          <w:tab w:leader="none" w:pos="1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surveys, which are conducted for the hull and the machinery at intervals of 12 months (or up to 15 months) from the date of commencement of the class period indicated on the certificate.</w:t>
      </w:r>
    </w:p>
    <w:p>
      <w:pPr>
        <w:spacing w:after="0" w:line="158" w:lineRule="exact"/>
        <w:rPr>
          <w:rFonts w:ascii="Times New Roman" w:cs="Times New Roman" w:eastAsia="Times New Roman" w:hAnsi="Times New Roman"/>
          <w:sz w:val="17"/>
          <w:szCs w:val="17"/>
          <w:color w:val="auto"/>
        </w:rPr>
      </w:pPr>
    </w:p>
    <w:p>
      <w:pPr>
        <w:jc w:val="both"/>
        <w:ind w:left="1040" w:hanging="263"/>
        <w:spacing w:after="0" w:line="250" w:lineRule="auto"/>
        <w:tabs>
          <w:tab w:leader="none" w:pos="1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bottom survey, which is an examination of the outside of the ship’s bottom and related items, and is normally carried out with the ship in dry-dock. However, the classification society may give consideration to alternate examination while the ship is afloat as an in-water survey. An in-water survey is not be permitted for ships 15 years of age and over that are assigned the notation ESP. A minimum of two bottom surveys are to be held in each five-year special survey period and the maximum interval between successive bottom surveys may not exceed three years. One of the two bottom surveys required in each five-year period is to coincide with the special survey. Non-ESP vessels (i.e., containers and LNG) are eligible to apply to the flag administration for the vessel to be placed on an Extended Dry-Docking (“EDD”) regime thus extending the bottom surveys to 7.5 years. The EDD scheme provides commercial flexibility and reduced operating expenses during the survey periods.</w:t>
      </w:r>
    </w:p>
    <w:p>
      <w:pPr>
        <w:spacing w:after="0" w:line="177" w:lineRule="exact"/>
        <w:rPr>
          <w:rFonts w:ascii="Times New Roman" w:cs="Times New Roman" w:eastAsia="Times New Roman" w:hAnsi="Times New Roman"/>
          <w:sz w:val="17"/>
          <w:szCs w:val="17"/>
          <w:color w:val="auto"/>
        </w:rPr>
      </w:pPr>
    </w:p>
    <w:p>
      <w:pPr>
        <w:jc w:val="both"/>
        <w:ind w:left="1040" w:hanging="263"/>
        <w:spacing w:after="0" w:line="282" w:lineRule="auto"/>
        <w:tabs>
          <w:tab w:leader="none" w:pos="10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153" w:lineRule="exact"/>
        <w:rPr>
          <w:rFonts w:ascii="Times New Roman" w:cs="Times New Roman" w:eastAsia="Times New Roman" w:hAnsi="Times New Roman"/>
          <w:sz w:val="16"/>
          <w:szCs w:val="16"/>
          <w:color w:val="auto"/>
        </w:rPr>
      </w:pPr>
    </w:p>
    <w:p>
      <w:pPr>
        <w:jc w:val="both"/>
        <w:ind w:left="1040" w:hanging="263"/>
        <w:spacing w:after="0" w:line="254" w:lineRule="auto"/>
        <w:tabs>
          <w:tab w:leader="none" w:pos="1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Vessels above 15 years of age, subject to enhanced survey requirements, are also dry-docked twice during each five year cycle for inspection of the underwater parts and any deficiencies identified during the inspections need to be rectified either during the inspection or at a later stage if that is found to be appropriate based on its classification society. The classification surveyor in this case will issue a “recommendation” which must be rectified by the ship-owner within prescribed time limits.</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6"/>
          <w:szCs w:val="16"/>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6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All areas subject to survey, as defined by the classification society, are required to be surveyed at least once per class period, unless shorter intervals between surveys are prescribed elsewhere.</w:t>
      </w:r>
    </w:p>
    <w:p>
      <w:pPr>
        <w:spacing w:after="0" w:line="158"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Most insurance underwriters make it a condition for insurance coverage that a vessel be certified as “in class” by a classification society which is a member of the International Association of Classification Societies (IACS). All of our vessels are certified as being “in class” by IACS members including ABS, BV, DNV, KR, and Lloyd’s Register.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Insurance</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181"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158" w:lineRule="exact"/>
        <w:rPr>
          <w:sz w:val="20"/>
          <w:szCs w:val="20"/>
          <w:color w:val="auto"/>
        </w:rPr>
      </w:pPr>
    </w:p>
    <w:p>
      <w:pPr>
        <w:jc w:val="both"/>
        <w:ind w:left="1040" w:hanging="263"/>
        <w:spacing w:after="0" w:line="259"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168" w:lineRule="exact"/>
        <w:rPr>
          <w:rFonts w:ascii="Times New Roman" w:cs="Times New Roman" w:eastAsia="Times New Roman" w:hAnsi="Times New Roman"/>
          <w:sz w:val="17"/>
          <w:szCs w:val="17"/>
          <w:color w:val="auto"/>
        </w:rPr>
      </w:pPr>
    </w:p>
    <w:p>
      <w:pPr>
        <w:ind w:left="1040" w:hanging="263"/>
        <w:spacing w:after="0" w:line="272"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value insurance, which enhances hull and machinery insurance cover by increasing the insured value of the vessels in the event of a total loss casualty;</w:t>
      </w:r>
    </w:p>
    <w:p>
      <w:pPr>
        <w:spacing w:after="0" w:line="15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16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risks insurance, which covers such items as piracy and terrorism; and</w:t>
      </w:r>
    </w:p>
    <w:p>
      <w:pPr>
        <w:spacing w:after="0" w:line="205" w:lineRule="exact"/>
        <w:rPr>
          <w:rFonts w:ascii="Times New Roman" w:cs="Times New Roman" w:eastAsia="Times New Roman" w:hAnsi="Times New Roman"/>
          <w:sz w:val="17"/>
          <w:szCs w:val="17"/>
          <w:color w:val="auto"/>
        </w:rPr>
      </w:pPr>
    </w:p>
    <w:p>
      <w:pPr>
        <w:ind w:left="1040" w:hanging="263"/>
        <w:spacing w:after="0" w:line="272"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Freight, demurrage and defense cover, which is a form of legal costs insurance covering certain costs of prosecuting or defending commercial (usually uninsured operating) claims.</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6"/>
          <w:szCs w:val="16"/>
          <w:color w:val="auto"/>
        </w:rPr>
        <w:t>Not all risks are insured and not all risks are insurable. The principal insurable risks, which remain uninsured across our fleet, are “loss of hire” and “strikes”.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our insurance coverage as of December 31, 2022:</w:t>
      </w:r>
    </w:p>
    <w:p>
      <w:pPr>
        <w:sectPr>
          <w:pgSz w:w="11900" w:h="16838" w:orient="portrait"/>
          <w:cols w:equalWidth="0" w:num="1">
            <w:col w:w="11240"/>
          </w:cols>
          <w:pgMar w:left="320" w:top="549" w:right="339"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Hull and Machinery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Value (including Excess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Hull &amp; Machinery (War Risks)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Protection and Indemnity (P&amp;I) Pollution Liability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507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0774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3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Aggregate Sum Insured for All Vessels in Our Existing Fleet </w:t>
      </w:r>
      <w:r>
        <w:rPr>
          <w:rFonts w:ascii="Times New Roman" w:cs="Times New Roman" w:eastAsia="Times New Roman" w:hAnsi="Times New Roman"/>
          <w:sz w:val="17"/>
          <w:szCs w:val="17"/>
          <w:color w:val="auto"/>
        </w:rPr>
        <w:t>$2.8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-133985</wp:posOffset>
            </wp:positionV>
            <wp:extent cx="7142480"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$600.0 million additional “total loss” coverage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-123190</wp:posOffset>
            </wp:positionV>
            <wp:extent cx="7142480" cy="127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Up to $1.0 billion per incident per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3571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592" w:lineRule="exact"/>
        <w:rPr>
          <w:sz w:val="20"/>
          <w:szCs w:val="20"/>
          <w:color w:val="auto"/>
        </w:rPr>
      </w:pPr>
    </w:p>
    <w:p>
      <w:pPr>
        <w:sectPr>
          <w:pgSz w:w="11900" w:h="16838" w:orient="portrait"/>
          <w:cols w:equalWidth="0" w:num="2">
            <w:col w:w="4900" w:space="720"/>
            <w:col w:w="5620"/>
          </w:cols>
          <w:pgMar w:left="320" w:top="549" w:right="339"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operate in a highly fragmented, highly diversified global market with many charterers, owners and operators of vessels.</w:t>
      </w:r>
    </w:p>
    <w:p>
      <w:pPr>
        <w:spacing w:after="0" w:line="205"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re-charter our vessels. However, we believe our ability to comply better with the rigorous standards of major charterers relative to less qualified or experienced operators allows us to effectively compete for new charters.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0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Our operations and our status as an operator and manager of ships are extensively regulated by international conventions, National Maritime Regulations of Country of Registry, Classification Rules and Regulations, IACS Quality Standards,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Water Pollution Control Act (“Clean Water Act”), Japanese Marine traffic safety laws, Australian Marine Orders regarding stevedores safety, as well as regulations adopted by the IMO and the EU, State air emission requirements, IMO/United States Coast Guard (“USCG”)/Environmental Protection Agency (“EPA”) pollution regulations and various SOLAS amendments, International Labour Organization (“ILO”) regulations, International Telecommunications Union (“ITU”) regulations, as well as insurance requirements and other regulations described below. In addition, various jurisdictions either have or are adopting ballast water management conventions to prevent the introduction of non-indigenous invasive species, and designating local air emission control areas. Compliance with these laws, regulations and other requirements could entail additional expense, including vessel modifications and implementation of additional operating procedures.</w:t>
      </w:r>
    </w:p>
    <w:p>
      <w:pPr>
        <w:spacing w:after="0" w:line="18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74"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Port State Control (“PSC”) officers, ILO inspectors, charterers, and particularly terminal operators which conduct frequent vessel inspections.</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States Requirements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158"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Under OPA 90, vessel operators, including vessel owners, managers and bareboat or “demise” charterers, are “responsible parties” who share strict joint and several liability for all containment and clean-up costs and other damages arising from oil spills from their vessels. These “responsible parties” would not be liable if the spill results solely from the act or omission of a third party, an act of God or an act of war. The limits of OPA90 liability are the greater of $2,500 per gross ton or $12.5 million for any tanker other than single-hull tank vessels, over 3,000 gross tons (subject to adjustment for inflation). OPA 90 specifically permits individual states to impose their own liability regimes with regard to oil pollution incidents occurring within their boundaries, and some states have enacted legislation providing for unlimited liability for discharge of pollutants within their waters.</w:t>
      </w:r>
    </w:p>
    <w:p>
      <w:pPr>
        <w:spacing w:after="0" w:line="176"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CERCLA applies to the discharge of hazardous substances (other than oil) whether on land or at sea, and contains a liability regime that provides for cleanup costs and damages to natural resources. Liability under CERCLA is limited to the greater of $300 per gross ton or $5.0 million for vessels carrying any hazardous substances as cargo, or the greater of $300 per gross ton or $0.5 million for any other vessel, per release of or incident involving hazardous substances. As with OPA 90, these limits of liability do not apply if the incident is caused by gross negligence, willful misconduct, violation of certain regulations or if the responsible party fails or refuses to report the incident or fails to provide all reasonable cooperation and assistance requested in response activities, in which case, liability is unlimited. While OPA 90 and CERCLA would not apply to the discharge of LNG, these laws may affect us because we carry oil as fuel and lubricants for our engines, and the discharge of these could cause an environmental hazard. We believe that we are in material compliance with OPA 90, CERCLA and all applicable state and local regulations in U.S. ports where our vessels call.</w:t>
      </w:r>
    </w:p>
    <w:p>
      <w:pPr>
        <w:spacing w:after="0" w:line="281"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48" w:name="page49"/>
    <w:bookmarkEnd w:id="48"/>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significant penalties for damage caused by water pollution</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U.S. EPA regulations govern the discharge into U.S. waters of ballast water and other substances incidental to the normal operation of vessels. Under EPA regulations, our vessels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 and U.S. EPA has announced that plans to publish new vessel discharge standards in late 2024 which could ultimately replace the VGP program by 2026.</w:t>
      </w:r>
    </w:p>
    <w:p>
      <w:pPr>
        <w:spacing w:after="0" w:line="176"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Administrative obligations, such as monitoring, recordkeeping and reporting requirements also apply. Implementation of the water treatment standards adopted by the USCG/EPA is required earlier than the implementation of equivalent standards agreed by the IMO.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As of the date of this Annual Report, all of our vessels are equipped with BWTS, seven have been retrofitted after delivery from the building yard, while 15, including our seven LNG carriers, were delivered from the building yard with installed BWTS systems</w:t>
      </w:r>
    </w:p>
    <w:p>
      <w:pPr>
        <w:spacing w:after="0" w:line="176"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IMO designates areas extending 200 miles from the U.S. territorial sea baseline adjacent to the Atlantic/Gulf and Pacific coasts and the eight main Hawaiian Islands as Sulphur Emission Control Areas and NOx Emission Control Areas under amendments to the Annex VI of MARPOL (discussed below). In addition, regulatory initiatives to require cold-ironing (shore-based power while docked) or alternative emission reduction measures are under consideration, have been adopted or in the process of adoption in a number of jurisdictions to reduce air emissions from docked ships. Compliance with these regulations entails significant capital expenditures or otherwise increases the costs of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China Requirements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China established coastal emission control areas (ECA) that capped the sulphur content of marine fuels. The three ECAs are the Pearl River Delta, the Yangtze River Delta and Bohai Bay. These coastal ECAs are designated under Chinese domestic law and are not MARPOL Annex VI designated ECAs and exclude the waters under the jurisdiction of Hong Kong, Macao and Taiwan. Since 1 January 2019, vessels operating within such a coastal ECA have been required to use fuel with a maximum sulphur content of 0.50%. The China Maritime Safety Administration issued an “Implementation Scheme of 2020 Global Marine Fuel Oil Sulphur Cap” according to which, among other requirements, from 1 January 2022 a sulphur cap of 0.10% will apply to seagoing vessels entering Hainan Waters within the coastal ECA.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Korea Requirements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From 1 September 2020, the South Korea government implemented mandatory SOx Emission Control Areas (SECAs) requiring the use of 0.1% sulphur fuel by ships in specified port areas. The following seaport areas became Korean SECAs, Incheon (including Gyeongin port), Pyeongtaek·Dangjin Yeosu·Gwangyang (including Hadong port) Busan Ulsan.</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Effective from 1 September 2020, all ships (including foreign-flagged vessels) berthed or at anchorage in the above SECAs must ensure that, one hour after mooring (or anchoring) and one hour before de-berthing (or heaving anchor), sulphur content of fuel oils used on board does not exceed 0.1% m/m (or an approved equivalent arrangement is used).</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Effective from 1 January 2022, all ships (including foreign-flagged vessels) entering or leaving the SECAs must comply with the same 0.1% m/m sulphur fuel limit using the appropriate fuel oils (or approved equivalent arrangement).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 requirements</w:t>
      </w:r>
    </w:p>
    <w:p>
      <w:pPr>
        <w:spacing w:after="0" w:line="209" w:lineRule="exact"/>
        <w:rPr>
          <w:sz w:val="20"/>
          <w:szCs w:val="20"/>
          <w:color w:val="auto"/>
        </w:rPr>
      </w:pPr>
    </w:p>
    <w:p>
      <w:pPr>
        <w:ind w:right="780" w:firstLine="523"/>
        <w:spacing w:after="0" w:line="272" w:lineRule="auto"/>
        <w:rPr>
          <w:sz w:val="20"/>
          <w:szCs w:val="20"/>
          <w:color w:val="auto"/>
        </w:rPr>
      </w:pPr>
      <w:r>
        <w:rPr>
          <w:rFonts w:ascii="Times New Roman" w:cs="Times New Roman" w:eastAsia="Times New Roman" w:hAnsi="Times New Roman"/>
          <w:sz w:val="17"/>
          <w:szCs w:val="17"/>
          <w:color w:val="auto"/>
        </w:rPr>
        <w:t>In September 2020, the EU agreed to cut GHG emissions by at least 55% by 2030 and to become climate neutral by 2050. The “Fit for 55” proposed legislative package issued on July 2021 to meet the new targets. It includes:</w:t>
      </w:r>
    </w:p>
    <w:p>
      <w:pPr>
        <w:spacing w:after="0" w:line="158" w:lineRule="exact"/>
        <w:rPr>
          <w:sz w:val="20"/>
          <w:szCs w:val="20"/>
          <w:color w:val="auto"/>
        </w:rPr>
      </w:pPr>
    </w:p>
    <w:p>
      <w:pPr>
        <w:ind w:left="520" w:right="320" w:hanging="257"/>
        <w:spacing w:after="0" w:line="249" w:lineRule="auto"/>
        <w:tabs>
          <w:tab w:leader="none" w:pos="5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Emission Trading System (ETS) Directive: The EU has determined that maritime shipping will be included in the ETS as from 2024 in the absence of a comparable system operating under the IMO, with the ships presently reporting emissions under the EU MRV Regulation required to purchase CO2 emission credits. Under the ETS, every year companies must purchase enough allowances in order to cover the total amount of their CO2 emissions in that year. At the end of each year they must surrender those allowances. All intra-EU emissions will be included, except that only 50% of the emissions for voyages from and to a third country when arriving in or departing from the EU, respectively, will be included. Non-compliance is fined and may eventually lead to a ban from EU waters. It remains to be seen what form the enactments will take when the final text of the ETS is published. On December 18, 2022, provisional agreement was reached by the EU Council and EU Parliament (the two EU legislative bodies) which provides for a gradual introduction of obligations for shipping companies. Specifically, shipping companies will be obliged to surrender allowances corresponding to only 40% of their verified emissions for 2024, 70% for 2025 and 100% as from 2026.</w:t>
      </w:r>
    </w:p>
    <w:p>
      <w:pPr>
        <w:spacing w:after="0" w:line="7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ind w:left="520" w:right="460" w:hanging="257"/>
        <w:spacing w:after="0" w:line="251" w:lineRule="auto"/>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Fuel EU Maritime Regulation: This is a new regulation coming into effect in 2025, imposing life cycle GHG footprint requirements on the energy used onboard vessels. It will apply to the same vessels that are covered by the EU MRV Regulation and will, in addition to CO2, cover methane and nitrous oxide, from a well-to-wake perspective. The GHG intensity of the energy used will be required to improve by 2% in 2025 relative to 2020, ramping up to 75% by 2050. Credits will be granted for energy generated on board, such as by wind power. The regulation will also require container and passenger vessels to connect to shore power from 2030 for stays longer than two hours. Similar to the ETS, non-compliance may lead to fines and vessels being banned from EU waters.</w:t>
      </w:r>
    </w:p>
    <w:p>
      <w:pPr>
        <w:spacing w:after="0" w:line="176" w:lineRule="exact"/>
        <w:rPr>
          <w:rFonts w:ascii="Times New Roman" w:cs="Times New Roman" w:eastAsia="Times New Roman" w:hAnsi="Times New Roman"/>
          <w:sz w:val="17"/>
          <w:szCs w:val="17"/>
          <w:color w:val="auto"/>
        </w:rPr>
      </w:pPr>
    </w:p>
    <w:p>
      <w:pPr>
        <w:ind w:left="520" w:right="940" w:hanging="257"/>
        <w:spacing w:after="0" w:line="272" w:lineRule="auto"/>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 Fuels Infrastructure Regulation: This regulation is an update of an existing directive and will require EU member states to ramp up the availability of LNG by 2025 and onshore electrical power supply by 2030 in core EU ports.</w:t>
      </w:r>
    </w:p>
    <w:p>
      <w:pPr>
        <w:spacing w:after="0" w:line="158" w:lineRule="exact"/>
        <w:rPr>
          <w:rFonts w:ascii="Times New Roman" w:cs="Times New Roman" w:eastAsia="Times New Roman" w:hAnsi="Times New Roman"/>
          <w:sz w:val="17"/>
          <w:szCs w:val="17"/>
          <w:color w:val="auto"/>
        </w:rPr>
      </w:pPr>
    </w:p>
    <w:p>
      <w:pPr>
        <w:jc w:val="both"/>
        <w:ind w:left="520" w:right="320" w:hanging="257"/>
        <w:spacing w:after="0" w:line="259" w:lineRule="auto"/>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Taxation Directive: This directive is being revised to remove the tax exemption for conventional fuels used between EU ports as of 1 January 2023. International bunker for extra-EU voyages remains tax exempt. For heavy fuel oil, the new tax rate will be approximately €37 per ton. LNG will initially be taxed at a rate of €0.6 per GJ. Alternative fuels will be tax exempt for a ten-year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Requirements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September 1997, the IMO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sulphur emission control areas to be established with more stringent controls on sulphur emissions (“SECA areas”).</w:t>
      </w:r>
    </w:p>
    <w:p>
      <w:pPr>
        <w:spacing w:after="0" w:line="17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 (ii) establishing new tiers of stringent nitrogen oxide emissions standards for new marine engines, depending on their date of installation. A global 0.5% sulphur cap on marine fuels came into force on January 1, 2020, as agreed in amendments adopted in 2008 for Annex VI to the MARPOL.</w:t>
      </w:r>
    </w:p>
    <w:p>
      <w:pPr>
        <w:spacing w:after="0" w:line="174"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Annex VI sets progressively stricter regulations to control sulphur oxides (SOx) and nitrous oxides (NOx) emissions from ships, which present both environmental and health risks. The 0.5% sulphur cap marks a significant reduction from the prior global sulphur cap of 3.5%, which came into effect on January 1, 2012. 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7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Additionally, as of January 1, 2015, more stringent sulphur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 areas. These mitigation measures and modifications may increase our operating expenses.</w:t>
      </w:r>
    </w:p>
    <w:p>
      <w:pPr>
        <w:spacing w:after="0" w:line="176"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 general, as our vessels are employed under time charter arrangements, our charterers are responsible for procuring compliant bunkers for our vessels and incur the cost of these bunkers.</w:t>
      </w:r>
    </w:p>
    <w:p>
      <w:pPr>
        <w:spacing w:after="0" w:line="158"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Vessels that transport gas, including LNG carriers, are also subject to the International Gas Carrier Code (“IGC”) which provides a standard for the safe carriage of LNG and certain other liquid gases by prescribing the design and construction standards of vessels involved in such carriage. Each of our vessels is in compliance with the IGC Code. Our ship manager holds a document of compliance under the ISM code for operation of Gas Carriers.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IMO.</w:t>
      </w:r>
    </w:p>
    <w:p>
      <w:pPr>
        <w:spacing w:after="0" w:line="181"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of the date of this Annual Report, five of our vessels have been retrofitted with scrubbers while two were delivered from the building yard with scrubbers attached. We expect that the three vessels we acquired in January 2020 will be retrofitted with scrubbers in 2023. As of the date of this Annual Report, all of our vessels are equipped with BWTS, seven have been retrofitted after delivery from the building yard, while 15, including our seven LNG carriers, were delivered from the building yard with BWTS attached. We may also decide to retrofit the rest of our fleet with scrubbers over the coming years, subject to market developments and yard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Climate Change and Greenhouse Gas Regulation</w:t>
      </w:r>
    </w:p>
    <w:p>
      <w:pPr>
        <w:spacing w:after="0" w:line="20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Increasing concerns about climate change have resulted in a number of international, national and regional measures to limit greenhouse gas emissions and additional stricter measures can be expected in the future.</w:t>
      </w:r>
    </w:p>
    <w:p>
      <w:pPr>
        <w:spacing w:after="0" w:line="158" w:lineRule="exact"/>
        <w:rPr>
          <w:sz w:val="20"/>
          <w:szCs w:val="20"/>
          <w:color w:val="auto"/>
        </w:rPr>
      </w:pPr>
    </w:p>
    <w:p>
      <w:pPr>
        <w:jc w:val="both"/>
        <w:ind w:firstLine="523"/>
        <w:spacing w:after="0" w:line="264" w:lineRule="auto"/>
        <w:rPr>
          <w:sz w:val="20"/>
          <w:szCs w:val="20"/>
          <w:color w:val="auto"/>
        </w:rPr>
      </w:pPr>
      <w:r>
        <w:rPr>
          <w:rFonts w:ascii="Times New Roman" w:cs="Times New Roman" w:eastAsia="Times New Roman" w:hAnsi="Times New Roman"/>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 also has indicated that it intends to propose an expansion of the existing EU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above pre-industrial levels and pursuing efforts to limit the temperature increase to 1.5°C above pre-industrial levels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173"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IMO continues to contribute to the global fight against climate change, in support of the UN Sustainable Development Goal 13, to take urgent action to combat climate change and its impacts. In 2018, IMO adopted an initial strategy on the reduction of GHG emissions from ships, setting out a vision which confirms IMO’s commitment to reducing GHG emissions from international shipping and to phasing them out as soon as possible. The initial GHG strategy envisages, in particular, a reduction in carbon intensity of international shipping (to reduce CO2 emissions per transport work, as an average across international shipping, by at least 40% by 2030, pursuing efforts towards 70% by 2050, compared to 2008), and that total annual GHG emissions from international shipping be reduced by at least 50% by 2050 compared to 2008. In June 2021, the IMO adopted extensive new CO2 regulations applicable to existing ships. The Energy Efficiency Existing Ship Index (EEXI) addressing the technical efficiency of ships, the Carbon Intensity Indicator (CII) rating scheme addressing the operational efficiency. The EEXI will impose a requirement similar to EEDI to existing ships of specific ship types as a one-off certification. The EEXI is to be verified and a new Energy Efficiency Certificate issued no later than the first annual, intermediate or renewal IAPP survey or the initial IEE survey after 1 January 2023. An EEXI Technical File must be issued including the calculation of the attained EEXI, which must be below a required EEXI value. From 2023, the CII requirements will take effect for the entire fleet, with the first annual reporting on carbon intensity to be completed in 2023 and the first rating given in 2024. Within 3 months after the end of each calendar year, ships shall calculate the attained annual operational CII over a 12-month period using data from the IMO Data Collection System and shall report it to its flag administration or recognized organization who shall:</w:t>
      </w:r>
    </w:p>
    <w:p>
      <w:pPr>
        <w:spacing w:after="0" w:line="180" w:lineRule="exact"/>
        <w:rPr>
          <w:sz w:val="20"/>
          <w:szCs w:val="20"/>
          <w:color w:val="auto"/>
        </w:rPr>
      </w:pPr>
    </w:p>
    <w:p>
      <w:pPr>
        <w:ind w:left="520" w:hanging="257"/>
        <w:spacing w:after="0"/>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the data has been properly reported,</w:t>
      </w:r>
    </w:p>
    <w:p>
      <w:pPr>
        <w:spacing w:after="0" w:line="205"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 the attained annual operational CII,</w:t>
      </w:r>
    </w:p>
    <w:p>
      <w:pPr>
        <w:spacing w:after="0" w:line="205"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operational carbon intensity rating (A, B, C, D or E)</w:t>
      </w:r>
    </w:p>
    <w:p>
      <w:pPr>
        <w:spacing w:after="0" w:line="205"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issue a Statement of Compliance related to fuel oil consumption reporting and annual operational carbon intensity rating.</w:t>
      </w:r>
    </w:p>
    <w:p>
      <w:pPr>
        <w:spacing w:after="0" w:line="205"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For ships rated as D for 3 consecutive years or rated as E, the SEEMP shall be amended with a plan of corrective actions to achieve the required annual operational CII.</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ind w:left="1060" w:hanging="534"/>
        <w:spacing w:after="0"/>
        <w:tabs>
          <w:tab w:leader="none" w:pos="106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Organizational Structure</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CPLP is a limited partnership organized in the Republic of the Marshall Islands. As of the date of this annual report, it has 29 subsidiaries which are incorporated in the Marshall Islands, Liberia and Cyprus. Of our significant subsidiaries, 22 either own or leaseback vessels in our fleet. Our subsidiaries are wholly-owned by us. A list of our significant subsidiaries as of the date of this annual report, is set forth in Exhibit 8.1 to this annual report.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Please also see Note 1 (Basis of Presentation and General Information) to our Financial Statements for a list of our significant subsidiaries as of December 31,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w:t>
      </w:r>
    </w:p>
    <w:p>
      <w:pPr>
        <w:spacing w:after="0" w:line="185" w:lineRule="exact"/>
        <w:rPr>
          <w:sz w:val="20"/>
          <w:szCs w:val="20"/>
          <w:color w:val="auto"/>
        </w:rPr>
      </w:pPr>
    </w:p>
    <w:p>
      <w:pPr>
        <w:ind w:left="1060" w:hanging="534"/>
        <w:spacing w:after="0"/>
        <w:tabs>
          <w:tab w:leader="none" w:pos="106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Plants and Equipment</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Other than our vessels, we do not have any material property. For further details regarding our vessels, including any environmental issues that may affect our utilization of these assets, please read “—B: Business Overview—Our Fleet” and “—Regulation” above. Our obligations under our financing arrangements are secured by all our vessels. For further details regarding our financing arrangements, please read “Item 5. Operating and Financial Review and Prospects—B. Liquidity and Capital Resources—Borrowings (Financing Arrangements).”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For a discussion of the year ended December 31, 2021, compared to the year ended December 31, 2020, please refer to Part A, Item 5, “Operating and Financial Review and Prospects” in our Annual Report on Form 20-F for the year ended December 31, 2021, filed with the SEC on April 27, 2022.</w:t>
      </w:r>
    </w:p>
    <w:p>
      <w:pPr>
        <w:spacing w:after="0" w:line="154" w:lineRule="exact"/>
        <w:rPr>
          <w:sz w:val="20"/>
          <w:szCs w:val="20"/>
          <w:color w:val="auto"/>
        </w:rPr>
      </w:pPr>
    </w:p>
    <w:p>
      <w:pPr>
        <w:jc w:val="both"/>
        <w:ind w:firstLine="523"/>
        <w:spacing w:after="0" w:line="253" w:lineRule="auto"/>
        <w:rPr>
          <w:sz w:val="20"/>
          <w:szCs w:val="20"/>
          <w:color w:val="auto"/>
        </w:rPr>
      </w:pPr>
      <w:r>
        <w:rPr>
          <w:rFonts w:ascii="Times New Roman" w:cs="Times New Roman" w:eastAsia="Times New Roman" w:hAnsi="Times New Roman"/>
          <w:sz w:val="17"/>
          <w:szCs w:val="17"/>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 See “Forward-Looking Statements” above.</w:t>
      </w:r>
    </w:p>
    <w:p>
      <w:pPr>
        <w:spacing w:after="0" w:line="372" w:lineRule="exact"/>
        <w:rPr>
          <w:sz w:val="20"/>
          <w:szCs w:val="20"/>
          <w:color w:val="auto"/>
        </w:rPr>
      </w:pPr>
    </w:p>
    <w:p>
      <w:pPr>
        <w:ind w:left="1060" w:hanging="534"/>
        <w:spacing w:after="0"/>
        <w:tabs>
          <w:tab w:leader="none" w:pos="106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Results Overview</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are an international owner of ocean-going vessels.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were organized in January 2007 by Capital Maritime, an international shipping company with a long history of operating and investing in the shipping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w:t>
      </w:r>
    </w:p>
    <w:p>
      <w:pPr>
        <w:spacing w:after="0" w:line="18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primary business objective is to make distributions to our unitholders on a quarterly basis and increase the level of our distributable cash flow over time, while growing our business, subject to shipping and charter market developments and our ability to obtain required financing and access financial markets.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seek to rely on medium- to long-term, fixed-rate period charters and our Managers’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We intend to further evaluate potential opportunities to acquire both newly built and second-hand vessels from Capital Maritime and its affiliates or third parties (including, potentially, through the acquisition of, or combination with, other shipping businesses) in a prudent manner that is accretive to our unitholders and long-term distribution cash flow growth, subject to approval of our board of directors, overall market conditions and our ability to obtain required financing and access financial markets.</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2" w:name="page53"/>
    <w:bookmarkEnd w:id="52"/>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As of December 31, 2022, the Marinakis family, including Evangelos M. Marinakis, the chairman of Capital Maritime, our sponsor, may be deemed to beneficially own a 30.0% interest in us through, among others, Capital Maritime and Capital Gas Corp.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Charters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generate revenues by charging our charterers for the use of our vessels.</w:t>
      </w:r>
    </w:p>
    <w:p>
      <w:pPr>
        <w:spacing w:after="0" w:line="20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Historically, our vessels were chartered under time or bareboat charter agreements. As of December 31, 2022, with the exception of the M/V Cape Agamemnon, all of our vessels, were trading in the period market. As of December 31, 2022, the M/V Cape Agamemnon was deployed in the spot market.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vessels are currently under contracts with HMM, CMA CGM, Hapag-Lloyd, BP, Cheniere, Hartree and Engie.</w:t>
      </w:r>
    </w:p>
    <w:p>
      <w:pPr>
        <w:spacing w:after="0" w:line="205"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 Risks Related to Our Business and Operations—We currently derive all of our revenues from a limited number of charterers and the loss of any charterer or charter or vessel could result in a significant loss of revenues and 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Future Results of Operations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As of the date of this Annual Report, we are exposed to the container and LNG markets to a significant extent, as our fleet is comprised of 14 container carrier vessels, seven LNG carrier vessels and one drybulk vessel. We have one vessel trading in the spot market.</w:t>
      </w:r>
    </w:p>
    <w:p>
      <w:pPr>
        <w:spacing w:after="0" w:line="158"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efforts by central banks to address increased inflation, global growth and demand for the seaborne transportation of goods, including dry and containerized goods and liquefied natural gas and overcapacity and deliveries of newly built vessels may affect the shipping industry in general and our business, financial condition, results of operations and cash flows in particular.</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Some of the key factors that may affect our business, future financial condition, results of operations and cash flow include the following:</w:t>
      </w:r>
    </w:p>
    <w:p>
      <w:pPr>
        <w:spacing w:after="0" w:line="205" w:lineRule="exact"/>
        <w:rPr>
          <w:sz w:val="20"/>
          <w:szCs w:val="20"/>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and demand for containerized goods, LNG and dry cargo;</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and orderbook of vessels, including, container vessels, liquefied natural gas and drybulk vessels;</w:t>
      </w:r>
    </w:p>
    <w:p>
      <w:pPr>
        <w:spacing w:after="0" w:line="205" w:lineRule="exact"/>
        <w:rPr>
          <w:rFonts w:ascii="Times New Roman" w:cs="Times New Roman" w:eastAsia="Times New Roman" w:hAnsi="Times New Roman"/>
          <w:sz w:val="17"/>
          <w:szCs w:val="17"/>
          <w:color w:val="auto"/>
        </w:rPr>
      </w:pPr>
    </w:p>
    <w:p>
      <w:pPr>
        <w:ind w:left="1040" w:right="240" w:hanging="263"/>
        <w:spacing w:after="0" w:line="272" w:lineRule="auto"/>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demand for goods from China, India, Brazil and Russia and other emerging markets and developments in international trade including threats and/or imposition of trade tariffs;</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charter hire levels and our ability to enter our vessels into long-term charters at competitive rates as their current charters expire;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Russia-Ukraine conflict on the global economy in general, and on the oil and gas industry in particular;</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covenants in our financing arrangements, including covenants relating to the maintenance of vessel value ratios;</w:t>
      </w:r>
    </w:p>
    <w:p>
      <w:pPr>
        <w:spacing w:after="0" w:line="205" w:lineRule="exact"/>
        <w:rPr>
          <w:rFonts w:ascii="Times New Roman" w:cs="Times New Roman" w:eastAsia="Times New Roman" w:hAnsi="Times New Roman"/>
          <w:sz w:val="17"/>
          <w:szCs w:val="17"/>
          <w:color w:val="auto"/>
        </w:rPr>
      </w:pPr>
    </w:p>
    <w:p>
      <w:pPr>
        <w:ind w:left="1040" w:right="160" w:hanging="263"/>
        <w:spacing w:after="0" w:line="272" w:lineRule="auto"/>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vessel values, which might affect our ability to comply with certain covenants under our financing arrangements and/or refinance our debt;</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relationships and reputation of our Managers, our General Partner and Capital Maritime in the shipping industry;</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and efficient technical management of our vessels;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and growth in the number of our customer relationships;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and consistent support from our Managers at comparable rates;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spot market rates and the number of our vessels which we may operate in the spot market;</w:t>
      </w:r>
    </w:p>
    <w:p>
      <w:pPr>
        <w:spacing w:after="0" w:line="10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ind w:left="1040" w:hanging="263"/>
        <w:spacing w:after="0"/>
        <w:tabs>
          <w:tab w:leader="none" w:pos="10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 of debt and the related interest expense and amortization of principal, including the impact of increased interest rates on our floating rate debt;</w:t>
      </w:r>
    </w:p>
    <w:p>
      <w:pPr>
        <w:spacing w:after="0" w:line="216" w:lineRule="exact"/>
        <w:rPr>
          <w:rFonts w:ascii="Times New Roman" w:cs="Times New Roman" w:eastAsia="Times New Roman" w:hAnsi="Times New Roman"/>
          <w:sz w:val="16"/>
          <w:szCs w:val="16"/>
          <w:color w:val="auto"/>
        </w:rPr>
      </w:pPr>
    </w:p>
    <w:p>
      <w:pPr>
        <w:ind w:left="1040" w:hanging="263"/>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increase the size of our fleet and make additional acquisitions that are accretive to our unitholders;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access to debt and equity financing, and the cost of capital required to acquire additional vessels or to implement our business strategy;</w:t>
      </w:r>
    </w:p>
    <w:p>
      <w:pPr>
        <w:spacing w:after="0" w:line="205" w:lineRule="exact"/>
        <w:rPr>
          <w:rFonts w:ascii="Times New Roman" w:cs="Times New Roman" w:eastAsia="Times New Roman" w:hAnsi="Times New Roman"/>
          <w:sz w:val="17"/>
          <w:szCs w:val="17"/>
          <w:color w:val="auto"/>
        </w:rPr>
      </w:pPr>
    </w:p>
    <w:p>
      <w:pPr>
        <w:ind w:left="1040" w:right="620" w:hanging="263"/>
        <w:spacing w:after="0" w:line="272" w:lineRule="auto"/>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maritime regulations and standards, including new environmental regulations and standards, and the costs associated therewith;</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upcoming dry-docking of our vessels;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the container, LNG and drybulk charter market and on our operations.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Please read “Item 3. Key Information—D. Risk Factors” for a discussion of certain risks inherent in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to Consider When Evaluating Our Results</w:t>
      </w:r>
    </w:p>
    <w:p>
      <w:pPr>
        <w:spacing w:after="0" w:line="209" w:lineRule="exact"/>
        <w:rPr>
          <w:sz w:val="20"/>
          <w:szCs w:val="20"/>
          <w:color w:val="auto"/>
        </w:rPr>
      </w:pPr>
    </w:p>
    <w:p>
      <w:pPr>
        <w:jc w:val="both"/>
        <w:ind w:firstLine="523"/>
        <w:spacing w:after="0" w:line="266" w:lineRule="auto"/>
        <w:rPr>
          <w:sz w:val="20"/>
          <w:szCs w:val="20"/>
          <w:color w:val="auto"/>
        </w:rPr>
      </w:pPr>
      <w:r>
        <w:rPr>
          <w:rFonts w:ascii="Times New Roman" w:cs="Times New Roman" w:eastAsia="Times New Roman" w:hAnsi="Times New Roman"/>
          <w:sz w:val="16"/>
          <w:szCs w:val="16"/>
          <w:color w:val="auto"/>
        </w:rPr>
        <w:t>We believe it is important to consider the size of our fleet when evaluating our results of operations. In February 2021, we completed the acquisition of three Panamax container carrier vessels, the M/V Long Beach Express, the M/V Seattle Express and the M/V Fos Express. During the second half of the year 2021 we completed the acquisition of six LNG carrier vessels, the LNG/C Aristos I and the LNG/C Aristarchos on September 3, 2021, the LNG/C Attalos and the LNG/C Asklipios on November 18, 2021, the LNG/C Adamastos on November 29, 2021 and the LNG/C Aristidis I on December 16, 2021 while in May and December 2021, respectively, we completed the sale of two Neo-Panamax container carrier vessels, the M/V CMA-CGM Magdalena and the M/V Adonis. On June 6, 2022, we agreed to acquire, upon their respective delivery from the shipyard, one LNG carrier vessel and three Neo-Panamax container carrier vessels. The first vessel, the Neo-Panamax container carrier vessel, the M/V Manzanillo Express, was delivered on October 12, 2022. On July 6, 2022 and July 28, 2022, we completed the sale of two Neo-Panamax container carrier vessels, the M/V Archimidis and the M/V Agamemnon respectively. Consequently, the weighted average number of vessels in our fleet increased by 3.4 during and the year 2022 compared to the year 2021.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We have derived the following selected historical financial data for the years ended December 31, 2022 and 2021 from our Financial Statements. The table below should be read together with, and is qualified in its entirety by reference to, the Financial Statements. Our Financial Statements are prepared in accordance with United States generally accepted accounting principles (“U.S. GAAP”) as described in Note 2 (Significant Accounting Policies) to the Financial Statements. All numbers are in thousands of U.S. Dollars, except numbers of units and earnings per unit.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Statement Data:</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80"/>
        </w:trPr>
        <w:tc>
          <w:tcPr>
            <w:tcW w:w="8280" w:type="dxa"/>
            <w:vAlign w:val="bottom"/>
            <w:gridSpan w:val="2"/>
            <w:vMerge w:val="continue"/>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4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299,071</w:t>
            </w:r>
          </w:p>
        </w:tc>
        <w:tc>
          <w:tcPr>
            <w:tcW w:w="4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Expenses / (income), net:</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Voyage expenses</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16,236</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Vessel operating expenses</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58,288</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operating expenses – related parties</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9,172</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10,681</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vessels</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(47,275)</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Vessel depreciation and amortization</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69,272</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 net</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116,374</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182,697</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 (expense), net: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and finance cost</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(55,421)</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(expense)/income</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(1,855)</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Partnership’s net income</w:t>
            </w: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125,421</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98,178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results of operations for the years ended December 31, 2022 and 2021 differ primarily due to:</w:t>
      </w:r>
    </w:p>
    <w:p>
      <w:pPr>
        <w:spacing w:after="0" w:line="205" w:lineRule="exact"/>
        <w:rPr>
          <w:sz w:val="20"/>
          <w:szCs w:val="20"/>
          <w:color w:val="auto"/>
        </w:rPr>
      </w:pPr>
    </w:p>
    <w:p>
      <w:pPr>
        <w:jc w:val="both"/>
        <w:ind w:left="1040" w:hanging="263"/>
        <w:spacing w:after="0" w:line="254" w:lineRule="auto"/>
        <w:tabs>
          <w:tab w:leader="none" w:pos="10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increase in the weighted average number of vessels in our fleet by 3.4 vessels. The weighted average number of container carrier and dry bulk vessels decreased by 1.6 following the sale of the M/V Archimidis and the M/V Agamemnon in July 2022 and the acquisition of the M/V Manzanillo Express, while the weighted average number of LNG carrier vessels which are earning revenues and are incurring operating expenses at a higher rate compared to the rest of our fleet increased by 5.0;</w:t>
      </w:r>
    </w:p>
    <w:p>
      <w:pPr>
        <w:spacing w:after="0" w:line="174"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the weighted average interest on our long-term debt to 4.1% for the year 2022 from 2.9% for the year 2021.</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Total Revenues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Total revenues, consisting of time and voyage charter revenues, amounted to $299.1 million for the year ended December 31, 2022 compared to $184.7 million for the year ended December 31, 2021.</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increase of $114.4 million was primarily a result of the net increase in the weighted average number of vessels in our fleet by 3.4 vessels during the year ended December 31, 2022, and the higher average charter rates earned by certain of our vessels during the year 2022 compared to the year 2021.</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Time and voyage charter revenues are mainly comprised of the charter hires received from unaffiliated third-party charterers and are generally affected by the number of vessel operating days, the weighted average number of vessels in our fleet and the charter rates.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the year ended December 31, 2022, BP, HMM, Cheniere and Hapag-Lloyd accounted for 28%, 18%, 17% and 16% of our total revenues, respectively.</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For information on the risks arising from a concentration of counterparties, see “Item 3. Key Information—D. Risk Factors—Risks Inherent in Our Operations —We currently derive all of our revenues from a limited number of charterers and the loss of any charterer or charter or vessel could result in a significant loss of revenues and cash flows.”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Please read “Item 4. Information on the Partnership—B. Business Overview—Our Fleet” and “—Our Charters” for information about the charters on our vessels, including daily charter rates.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Voyage Expenses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Total voyage expenses amounted to $16.2 million for the year ended December 31, 2022, compared to $10.7 million for the year ended December 31, 2021. The increase of $5.5 million was primarily attributable to the increase in the weighted average number of vessels in our fleet during the year 2022 and the increase in voyage expenses incurred by the M/V Cape Agamemnon employed under voyage charters during the year 2022 compared to the year 2021.</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Voyage expenses primarily consist of bunkers, port expenses, canal dues and commissions.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 hire periods are paid for by us. Please also refer to Note 10 (Voyage Expenses and Vessel Operating Expenses) to the Financial Statements for information on the composition of our voyage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Vessel Operating Expenses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For the year ended December 31, 2022, our total vessel operating expenses amounted to $67.5 million compared to $47.1 million for the year ended December 31, 2021. The $20.4 million increase in total vessel operating expenses primarily reflects the increase in the number of vessels in our fleet during 2022 including the LNG carriers which are incurring operating expenses at a higher rate compared to the rest of our fleet.</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Total vessel operating expenses for the year ended December 31, 2022 include expenses of $9.2 million incurred under the management agreements we have with our Managers, compared to $5.9 million during the year ended December 31, 2021.</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See Note 10 (Voyage Expenses and Vessel Operating Expenses) to the Financial Statements for information on the composition of our vessel operating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expenses amounted to $10.7 million for the year ended December 31, 2022, compared to $8.7 million for the year ended December 31, 2021. The $2.0 million increase in general and administrative expenses was mainly attributable to the increase in the amortization associated with our equity incentive plan and certain write-offs associated with long outstanding trade receivables.</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expenses include board of directors’ fees and expenses, audit and certain legal fees, compensation cost related to our Omnibus Incentive Compensation Plan and other fees related to the expenses of the publicly traded partnership.</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Gain on sale of vessels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Gain on sale of vessels amounted to $47.3 million for the year ended December 31, 2022, compared to $46.8 million for the year ended December 31, 2021. Gain on sale of vessels for the year 2022 includes the gain we recognized in connection with the sale of the M/V Archimidis and the M/V Agamemnon in July 2022, while the gain on sale of vessels for the year 2021 includes the gain we recognized in connection with the sale of the M/V CMA CGM Magdalena and the M/V Adonis in May 2021 and December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Vessel Depreciation and Amortization</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Depreciation and amortization amounted to $69.3 million for the year ended December 31, 2022, compared to $46.9 million for the year ended December 31, 2021. The $22.4 million increase in vessel depreciation and amortization primarily reflects the net increase in the number of vessels and the higher average cost due to the LNG/C vessels acquisitions in our fleet during the year ended December 31, 2022.</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Generally, depreciation is expected to increase if the weighted average number of vessels in our fleet increases.</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Total Other Expense, Net</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Total other expense, net for the year ended December 31, 2022 amounted to $57.3 million, compared to $19.9 million for the year ended December 31, 2021. Total other expense, net includes interest expense and finance costs of $55.4 million for the year ended December 31, 2022, compared to $20.1 million for the year ended December 31, 2021. The increase of $35.3 million primarily reflects higher debt and interest costs incurred mainly as a result of higher average indebtedness and the increase in the LIBOR weighted average interest rate for the year ended December 31, 2022 compared to 2021.</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Interest expense and finance costs include interest expense, amortization of financing charges, commitment fees and bank charges.</w:t>
      </w:r>
    </w:p>
    <w:p>
      <w:pPr>
        <w:spacing w:after="0" w:line="20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weighted average interest rate on the debt outstanding under our financing arrangements for the year ended December 31, 2022 was 4.1%, compared to 2.9% for the year ended December 31, 2021. Please also refer to Note 7 (Long-Term Debt) to our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Net income for the year ended December 31, 2022 amounted to $125.4 million compared to $98.2 million for the year ended December 31, 2021.</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For a discussion of our results for the year ended December 31, 2021 compared to the year ended December 31, 2020, please see “Item 5. Operating and Financial Review and Prospects – A. Operating Results Overview– Year Ended December 31, 2021 Compared to Year Ended December 31, 2020” contained in our annual report on Form 20-F for the year ended December 31, 2021, filed with the SEC on April 27,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fluctuations/hedging</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See “Item 11. Quantitative and Qualitative Disclosures about Market Risk” for information about our exposure to foreign currency fluctuations.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polices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See “Item 3. Key Information—D. Risk Factors— RISKS RELATED TO OUR INDUSTRY” for information on the risks arising from governmental economic, fiscal, monetary or political policies or factors.</w:t>
      </w:r>
    </w:p>
    <w:p>
      <w:pPr>
        <w:spacing w:after="0" w:line="154" w:lineRule="exact"/>
        <w:rPr>
          <w:sz w:val="20"/>
          <w:szCs w:val="20"/>
          <w:color w:val="auto"/>
        </w:rPr>
      </w:pPr>
    </w:p>
    <w:p>
      <w:pPr>
        <w:ind w:left="1060" w:hanging="534"/>
        <w:spacing w:after="0"/>
        <w:tabs>
          <w:tab w:leader="none" w:pos="10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As of December 31, 2022, total cash and cash equivalents (including restricted cash) were $154.8 million. Restricted cash under our financing arrangements amounted to $10.2 million.</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As of December 31, 2022, there were $108.0 million undrawn under our financing arrangements. The full amount was drawn on January 6, 2023, with the purpose of partially financing the acquisition of the shares of the company owning the M/V Itajai Express. See also “—Borrowings (Financing Arrangements)” below for information regarding our financing arrangements.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Generally, our primary sources of funds have been cash from operations, bank borrowings, sale-leaseback arrangements and equity and debt securities offerings.</w:t>
      </w:r>
    </w:p>
    <w:p>
      <w:pPr>
        <w:spacing w:after="0" w:line="217"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None of our charters is expected to expire in the coming 12 months. Cash flows from operations may be further affected by other factors described in “Item 3. Key Information— D. Risk Factors”.</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Because we distribute all of our available cash (a contractually defined term, generally referring to cash on hand at the end of each quarter after provision for reserves), we generally rely upon external financing sources, including bank borrowings and equity and debt securities offerings, to fund replacement, expansion and investment capital expenditures, and to refinance or repay outstanding indebtedness.</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particular, since 2011, our board of directors has elected not to provision cash reserves for estimated replacement capital expenditures. Accordingly, our ability to maintain and grow our asset base, including through further dropdown opportunities from Capital Maritime and its affiliates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17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Subject to our ability to obtain required financing and access financial markets, we expect to continue to evaluate opportunities to acquire vessels and businesses.</w:t>
      </w:r>
    </w:p>
    <w:p>
      <w:pPr>
        <w:spacing w:after="0" w:line="158"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As of December 31, 2022, total partners’ capital amounted to $638.4 million, an increase of $112.9 million compared to $525.5 million as of December 31, 2021. The increase reflects net income for the year ended December 31, 2022, the $6.6 million of our common units issued to the seller upon delivery of the M/V Manzanillo Express as part of the consideration for that vessel, and the amortization associated with the equity incentive plan, partly offset by distributions declared and paid during the period in the total amount of $12.2 million, the repurchase of common units for an aggregate amount of $5.9 million and other comprehensive loss of $4.8 million resulting from the increase in the U.S. Dollar equivalent of our euro-denominated bonds, partly set off by the change in the fair value of the relevant cross-currency swap agreement we designated as an accounting hedge.</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6" w:name="page57"/>
    <w:bookmarkEnd w:id="56"/>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Subject to shipping, charter and financial market developments, we believe that our working capital will be sufficient to meet our existing liquidity needs for at least the next 12 months.</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For more information on our anticipated future cash requirements and resources please refer to Note 7 (Long-Term Debt) and Note 15 (Commitments and Contingencies) to our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following table summarizes our cash and cash equivalents provided by / (used in) operating, financing and investing activities for the years presented below,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60" w:type="dxa"/>
            <w:vAlign w:val="bottom"/>
            <w:tcBorders>
              <w:bottom w:val="single" w:sz="8" w:color="CCEC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C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3"/>
        </w:trPr>
        <w:tc>
          <w:tcPr>
            <w:tcW w:w="836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Net Cash Provided by Operating Activities</w:t>
            </w:r>
          </w:p>
        </w:tc>
        <w:tc>
          <w:tcPr>
            <w:tcW w:w="540" w:type="dxa"/>
            <w:vAlign w:val="bottom"/>
            <w:shd w:val="clear" w:color="auto" w:fill="CCECFF"/>
          </w:tcPr>
          <w:p>
            <w:pPr>
              <w:jc w:val="right"/>
              <w:ind w:right="3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172.6</w:t>
            </w:r>
          </w:p>
        </w:tc>
        <w:tc>
          <w:tcPr>
            <w:tcW w:w="100" w:type="dxa"/>
            <w:vAlign w:val="bottom"/>
            <w:shd w:val="clear" w:color="auto" w:fill="CCECFF"/>
          </w:tcPr>
          <w:p>
            <w:pPr>
              <w:spacing w:after="0"/>
              <w:rPr>
                <w:sz w:val="16"/>
                <w:szCs w:val="16"/>
                <w:color w:val="auto"/>
              </w:rPr>
            </w:pPr>
          </w:p>
        </w:tc>
        <w:tc>
          <w:tcPr>
            <w:tcW w:w="500" w:type="dxa"/>
            <w:vAlign w:val="bottom"/>
            <w:shd w:val="clear" w:color="auto" w:fill="CCECFF"/>
          </w:tcPr>
          <w:p>
            <w:pPr>
              <w:jc w:val="right"/>
              <w:ind w:right="3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111.2</w:t>
            </w:r>
          </w:p>
        </w:tc>
      </w:tr>
      <w:tr>
        <w:trPr>
          <w:trHeight w:val="200"/>
        </w:trPr>
        <w:tc>
          <w:tcPr>
            <w:tcW w:w="83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w:t>
            </w: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00"/>
        </w:trPr>
        <w:tc>
          <w:tcPr>
            <w:tcW w:w="836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Cash (Used in)/Provided by Financing Activities</w:t>
            </w:r>
          </w:p>
        </w:tc>
        <w:tc>
          <w:tcPr>
            <w:tcW w:w="540" w:type="dxa"/>
            <w:vAlign w:val="bottom"/>
            <w:shd w:val="clear" w:color="auto" w:fill="CCEC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7"/>
                <w:szCs w:val="17"/>
                <w:color w:val="auto"/>
              </w:rPr>
              <w:t>(35.1)</w:t>
            </w:r>
          </w:p>
        </w:tc>
        <w:tc>
          <w:tcPr>
            <w:tcW w:w="500" w:type="dxa"/>
            <w:vAlign w:val="bottom"/>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40.6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Net cash provided by operating activities was $172.6 million for the year ended December 31, 2022 compared to $111.2 million for the year ended December 31, 2021. The increase of $61.4 million was mainly attributable to the net increase in the number of vessels in our fleet, a decrease in our trade receivables, an increase in pre-collections of revenue to be earned in future periods, an increase in accounts payables and accrued liabilities and a decrease in payments for dry-docking costs, partly offset by the increase in the amounts we reimbursed our Managers for expenses paid on our behalf and the increase in amounts we paid in advance for operating and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Net cash used in investing activities refers primarily to cash used for vessel acquisitions and improvements, including installation of scrubbers and BWTS, partly offset by proceeds from the sale of vessels. Net cash used in investing activities for the year ended December 31, 2022 amounted to $14.1 million compared to $175.1 million during the year 2021. The decrease of $161.0 million was primarily attributable to the decrease in the amounts paid for vessel acquisitions and improvements in the year 2022. During the year 2022 we paid $115.0 million to acquire the M/V Manzanillo Express, paid $24.0 million in advance for the acquisition of one LNG/C and two Neo-Panamax container carriers, one of which was delivered in January 2023 and the other of which is to be delivered in the second quarter of 2023, and $2.2 million for vessel improvements, partly offset by $127.1 million of net proceeds received from the sale of the M/V Archimidis and the M/V Agamemnon. During the year 2021 we paid $365.7 million to acquire three Panamax container carrier vessels and six LNG carrier vessels and $2.4 million for vessel improvements party offset by $193.0 million net proceeds received from the sale of the M/V CMA CGM Magdalena and the M/V Adonis.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in/Provided by Financing Activities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2022, was $35.1 million representing mainly scheduled principal payments for the year of $85.2 million, debt repayments in connection with the sale of the M/V Archimidis and the M/V Agamemnon of $28.0 million, the repayment in full of our 2017 and 2020 credit facilities for a total amount of $95.7 million, the repayment of $10.0 million seller’s credit, $12.2 million of dividends paid to our common unit holders and $5.9 million paid to acquire CPLP units under our repurchase program partly offset by the issuance of €100.0 million ($101.3 million) Bonds in July 2022 and the drawdown of $105.0 million of a new credit facility to partly finance the acquisition of the M/V Manzanillo Express in October 2022 net of $4.3 million paid for the issuance of these financing arrangements.</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2021, was $40.6 million representing mainly cash proceeds of $204.3 million from the financing arrangements we entered into during the year 2021, to partly finance the acquisition of the M/V Long beach Express, the M/V Seattle Express and the M/V Fos Express and the issuance of the Bonds in October 2021, partly offset by $6.1 million paid for the issuance of these financing arrangements, $49.3 million of scheduled principal payments, $96.2 million prepayment of the ICBCFL financing arrangement as a result of the sale of the two Neo-Panamax container carrier vessels in 2021, $7.6 million of dividends paid to our common unit holders and $4.5 million paid to acquire CPLP units under our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Borrowings (Financing Arrangements)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long-term borrowings are reflected in our balance sheet in non-current liabilities as “Long-term debt, net” and in current liabilities as “Current portion of long-term debt, net”.</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As of December 31, 2022 and 2021 our total borrowings were $1,299.2 million and $1,317.4 million respectively. See Note 7 (Long-Term Debt) to our Financial Statements for further discussion of our long-term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2017 Credit Facility (fully repaid in 2022)</w:t>
      </w:r>
    </w:p>
    <w:p>
      <w:pPr>
        <w:spacing w:after="0" w:line="20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On September 6, 2017, we entered into a credit facility with a syndicate of lenders led by HCOB and ING, as mandated lead arrangers and bookrunners, and BNP Paribas and National Bank of Greece S.A., as arrangers (the “2017 Credit Facility”). In October 2017, we drew $460.0 million thereunder. In connection with the spin off our then existing crude and product tanker business (the “DSS Transaction”), on March 27, 2019, we amended the 2017 Credit Facility and prepaid an amount of $89.3 million thereunder. On May 27, 2020 upon the closing of the ICBCFL facility described below, we repaid $116.5 million to release three vessels under the 2017 Credit Facility. On May 30, 2022 the Partnership entered into memorandums of agreement for the sale of the M/V Archimidis and the M/V Agamemnon to an unaffiliated third party for total consideration of $130.0 million and the amount repaid to HCOB on the delivery of the vessels to their new owners was $28.0 million in total. In August 2022, we repaid in full the amount outstanding at the time under the 2017 Credit Facility of $65.8 million.</w:t>
      </w:r>
    </w:p>
    <w:p>
      <w:pPr>
        <w:spacing w:after="0" w:line="27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The 2020 Credit Facility (fully repaid in 2022)</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January 17, 2020 we entered into a new term loan facility with Hamburg Commercial Bank A.G. (the “2020 Credit Facility”) of up to $38.5 million for the purpose of partially financing the acquisition of M/V Athenian. The full amount of the facility was drawn on January 22, 2020 and, in August 2022, we repaid in full the amount outstanding at the time under the 2020 Credit Facility of $29.9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2020 CMBFL Sale and Lease Back</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On January 20, 2020 we entered into an agreement for the sale and lease back of the vessels M/V Athos and M/V Aristomenis with CMBFL for $38.5 million each. The lease agreement has a duration of five years and includes a purchase option for us to acquire each vessel on expiration of the lease at the predetermined price of $22.5 million, and requires us to pay the amount of $7.5 million to CMBFL if the option is not exercised. In addition, we have various purchase options commencing from the first anniversary of the lease. The full amounts were drawn on January 23, 2020. As of December 31, 2022 the balance outstanding under the 2020 CMBFL facility was $59.4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ICBCFL Sale and Lease Back</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In December 2019 we entered into a non-binding term sheet and in May 2020 into an agreement with ICBCFL for the sale and lease back of three vessels then mortgaged under the 2017 credit facility, namely the M/V Akadimos (ex CMA CGM Amazon), the M/V Adonis (ex CMA CGM Uruguay) and the M/V CMA CGM Magdalena, for a total amount of $155.4 million. The lease has a duration of seven years after drawdown and includes mandatory purchase obligations for us to repurchase the vessels on expiration of the agreement, at the predetermined price of $77.7 million. In addition, we have various purchase options commencing from the first anniversary of the lease. The full amount was drawn on May 27, 2020. The amount we repaid to release these three vessels under the 2017 credit facility was $116.5 million. On April 7, 2021 the Partnership entered into memorandums of agreement for the sale of the M/V CMA CGM Magdalena and the M/V Adonis to an unaffiliated third party for total consideration of $195.0 million. The M/V CMA CGM Magdalena and the M/V Adonis were delivered to their new owners on May 17, 2021 and December 13, 2021, respectively. The amount repaid to ICBCFL on the delivery of the vessels to their new owners was $96.2 million in total. As of December 31, 2022, the balance outstanding under the ICBCFL Facility was $42.0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2021 CMBFL Panamax Sale and Lease Back (fully repaid in 2023)</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On January 22, 2021, we entered into an agreement for the sale and lease back of the vessels M/V Long Beach Express, M/V Seattle Express and M/V Fos Express with CMBFL for $10.0 million each. The lease agreement has a duration of five years. In addition, we have various purchase options commencing from the first anniversary of the lease, including an option to purchase the vessel on the 5th anniversary of the lease for a predetermined price of $4.5 million. The full amounts were drawn on February 25, 2021. As of December 31, 2022, the balance outstanding under the 2021 CMBFL Panamax Facility was $24.2 million. On March 14, 2023 we repaid in full the amount outstanding at the time of $23.4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CMTC Seller’s Credit</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January 2021, in connection to the acquisition of the M/V Long Beach Express, the M/V Seattle Express and the M/V Fos Express, the Partnership entered into a seller’s credit agreement with Capital Maritime to defer $6.0 million of the purchase price of the vessels for up to five years from the delivery of the vessels.”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2021 BoComm Sale and Lease Back</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Upon the acquisition of the LNG/C Aristos I and the LNG/C Aristarchos on September 3, 2021, we assumed indebtedness, previously entered by the companies owning the vessels, of $148.9 million and $155.4 million, respectively, under sale and lease back transactions (the “2021 BoComm Facility”). At maturity on October 2027 and May 2028, the lease provides for a purchase obligation to acquire each vessel at the predetermined price of $84.7 million. In addition, the lease agreement includes various purchase options commencing from the inception of the lease. As of December 31, 2022 the balance outstanding under the 2021 BoComm Facility was $271.1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CGC Seller’s Credit (fully repaid in 2022)</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connection to the acquisition of the vessels LNG/C Aristos I and LNG/C Aristarchos, the Partnership entered into a seller’s credit agreement with CGC to defer $10.0 million of the purchase price of the vessels for up to twelve months from the delivery of the vessels. The CGC Seller’s Credit is unsecured and interest free. The full amount was repaid in July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2021 CMBFL LNG/C Sale and Lease Back</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Upon the acquisition of the LNG/C Attalos and the LNG/C Asklipios on November 18, 2021, we assumed debt previously incurred by the companies owning the vessels, of $146.3 million and $149.6 million, respectively, under sale and lease back transactions with CMBFL. At maturity on August 2028 and September 2028, the lease provides for a purchase option to acquire each vessel at the predetermined price of $90.7 million and $91.4 million respectively. In addition, the lease agreement includes various purchase options commencing from the first anniversary of the lease. As of December 31, 2022 the balance outstanding under the 2021 CMBFL LNG/C Facility was $277.3 million.</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The 2021 Shin Doun Sale and Lease Back</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Upon the acquisition of the LNG/C Adamastos on November 29, 2021, we assumed debt previously incurred by the company owning the vessel, of $143.1 million, under sale and lease back transaction with Shin Doun. The lease agreement has a duration of 15 years maturing in July 2036 and includes a purchase obligation at the end of the lease at a predetermined price of $30.0 million. As of December 31, 2022 the balance outstanding under the 2021 Shin Doun Facility was $136.8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2021 Credit Facility</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Upon the acquisition of the LNG/C Aristidis I on December 16, 2021, we assumed debt previously incurred by the Seller, of $123.0 million, under a syndicate credit facility led by ING. As of December 31, 2022 the 2021 Credit Facility has a remaining duration of five years, maturing in December 2027. As of December 31, 2022 the balance outstanding under the 2021 Credit Facility was $110.8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2022 Credit Facility</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October 6, 2022 we entered into a new term loan facility with HCOB (the “2022 Credit Facility”) of up to $105.0 million for the purpose of partially financing the acquisition of the M/V Manzanillo Express. The full amount of the facility was drawn on October 11, 2022. As of December 31, 2022 the balance outstanding under the 2022 Credit Facility was $105.0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2022 Sale and Lease Back</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December 23, 2022 the Partnership entered into a new sale and lease back agreement of up to $108.0 million for the purpose of partially financing the acquisition of the shares of the company owning the M/V Itajai Express. The full amount of the sale and lease back agreement was drawn on January 6, 2023 and has a duration of eight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Unsecured Bonds</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October 20, 2021, the wholly owned subsidiary of the Partnership, CPLP PLC, issued €150.0 million of senior unsecured bonds in Greece. The Bonds are guaranteed by the Partnership, mature in October 2026 and have a coupon of 2.65%, payable semi-annually. The trading of the Bonds on the Athens Stock Exchange commenced on October 25, 2021.</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July 22, 2022, the wholly owned subsidiary of the Partnership, CPLP PLC, issued €100.0 million of senior unsecured bonds in Greece. The Bonds are guaranteed by the Partnership, mature in July 2029 and have a coupon of 4.40%, payable semi-annually. The trading of the Bonds on the Athens Stock Exchange commenced on July 27, 2022.</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required annual payments to be made subsequently to December 31, 2022 with reference to our financing arrangements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9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b w:val="1"/>
                <w:bCs w:val="1"/>
                <w:color w:val="auto"/>
              </w:rPr>
              <w:t>For the year ending December 31,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193"/>
        </w:trPr>
        <w:tc>
          <w:tcPr>
            <w:tcW w:w="992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2023</w:t>
            </w:r>
          </w:p>
        </w:tc>
        <w:tc>
          <w:tcPr>
            <w:tcW w:w="320" w:type="dxa"/>
            <w:vAlign w:val="bottom"/>
            <w:shd w:val="clear" w:color="auto" w:fill="CCECFF"/>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75.4</w:t>
            </w:r>
          </w:p>
        </w:tc>
      </w:tr>
      <w:tr>
        <w:trPr>
          <w:trHeight w:val="200"/>
        </w:trPr>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00"/>
        </w:trPr>
        <w:tc>
          <w:tcPr>
            <w:tcW w:w="99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shd w:val="clear" w:color="auto" w:fill="CCECFF"/>
          </w:tcPr>
          <w:p>
            <w:pPr>
              <w:spacing w:after="0"/>
              <w:rPr>
                <w:sz w:val="17"/>
                <w:szCs w:val="17"/>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00"/>
        </w:trPr>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00"/>
        </w:trPr>
        <w:tc>
          <w:tcPr>
            <w:tcW w:w="99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shd w:val="clear" w:color="auto" w:fill="CCECFF"/>
          </w:tcPr>
          <w:p>
            <w:pPr>
              <w:spacing w:after="0"/>
              <w:rPr>
                <w:sz w:val="17"/>
                <w:szCs w:val="17"/>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238.8</w:t>
            </w:r>
          </w:p>
        </w:tc>
      </w:tr>
      <w:tr>
        <w:trPr>
          <w:trHeight w:val="200"/>
        </w:trPr>
        <w:tc>
          <w:tcPr>
            <w:tcW w:w="99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571.9</w:t>
            </w:r>
          </w:p>
        </w:tc>
      </w:tr>
      <w:tr>
        <w:trPr>
          <w:trHeight w:val="193"/>
        </w:trPr>
        <w:tc>
          <w:tcPr>
            <w:tcW w:w="9920" w:type="dxa"/>
            <w:vAlign w:val="bottom"/>
            <w:tcBorders>
              <w:bottom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320" w:type="dxa"/>
            <w:vAlign w:val="bottom"/>
            <w:tcBorders>
              <w:bottom w:val="single" w:sz="8" w:color="auto"/>
            </w:tcBorders>
            <w:shd w:val="clear" w:color="auto" w:fill="CCECFF"/>
          </w:tcPr>
          <w:p>
            <w:pPr>
              <w:jc w:val="right"/>
              <w:ind w:right="1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1,299.2</w:t>
            </w:r>
          </w:p>
        </w:tc>
      </w:tr>
    </w:tbl>
    <w:p>
      <w:pPr>
        <w:spacing w:after="0" w:line="38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December 2, 2021 we entered into a cross-currency swap agreement with Piraeus Bank SA exchanging €120.0 million with $139.7 million paying a fixed annual rate of 3.655%. The agreement’s effective date is October 21, 2021 and its maturity date is October 21, 2025.</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December 13, 2021 we entered into a cross-currency swap agreement with Alpha Bank SA exchanging €30.0 million with $34.9 million paying a fixed annual rate of 3.690%. The agreement’s effective date is October 21, 2021 and its maturity date is October 21, 2025.</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August 4, 2022 we entered into a cross-currency swap agreement with Piraeus Bank SA exchanging €100.0 million with $101.8 million paying a fixed annual rate of 6.55%. The agreement’s effective date is July 26, 2022 and its maturity date is July 26, 2029.</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financing arrangements, other than the Bonds, contain customary ship finance covenants, including restrictions as to changes in management and ownership of the mortgaged vessels, the incurrence of additional indebtedness and the mortgaging of vessels.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financing arrangements including the Bonds also contain financial covenants:</w:t>
      </w:r>
    </w:p>
    <w:p>
      <w:pPr>
        <w:spacing w:after="0" w:line="205" w:lineRule="exact"/>
        <w:rPr>
          <w:sz w:val="20"/>
          <w:szCs w:val="20"/>
          <w:color w:val="auto"/>
        </w:rPr>
      </w:pPr>
    </w:p>
    <w:p>
      <w:pPr>
        <w:ind w:left="780" w:hanging="254"/>
        <w:spacing w:after="0"/>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minimum free consolidated liquidity of at least $0.5 million per collateralized vessel;</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a ratio of EBITDA (as defined therein) to net interest expense of at least 2.00 to 1.00 on a trailing four quarter basis; and</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exceed a specified maximum leverage ratio in the form of a ratio of total net indebtedness to (fair value adjusted) total assets of 0.75.</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9" w:name="page60"/>
    <w:bookmarkEnd w:id="59"/>
    <w:p>
      <w:pPr>
        <w:ind w:left="540"/>
        <w:spacing w:after="0"/>
        <w:rPr>
          <w:sz w:val="20"/>
          <w:szCs w:val="20"/>
          <w:color w:val="auto"/>
        </w:rPr>
      </w:pPr>
      <w:r>
        <w:rPr>
          <w:rFonts w:ascii="Times New Roman" w:cs="Times New Roman" w:eastAsia="Times New Roman" w:hAnsi="Times New Roman"/>
          <w:sz w:val="17"/>
          <w:szCs w:val="17"/>
          <w:color w:val="auto"/>
        </w:rPr>
        <w:t>In addition, the Bonds require that:</w:t>
      </w:r>
    </w:p>
    <w:p>
      <w:pPr>
        <w:spacing w:after="0" w:line="205" w:lineRule="exact"/>
        <w:rPr>
          <w:sz w:val="20"/>
          <w:szCs w:val="20"/>
          <w:color w:val="auto"/>
        </w:rPr>
      </w:pPr>
    </w:p>
    <w:p>
      <w:pPr>
        <w:ind w:left="780" w:hanging="254"/>
        <w:spacing w:after="0"/>
        <w:tabs>
          <w:tab w:leader="none" w:pos="7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 a pledged DSRA with a minimum balance €0.1 million</w:t>
      </w:r>
    </w:p>
    <w:p>
      <w:pPr>
        <w:spacing w:after="0" w:line="205" w:lineRule="exact"/>
        <w:rPr>
          <w:rFonts w:ascii="Times New Roman" w:cs="Times New Roman" w:eastAsia="Times New Roman" w:hAnsi="Times New Roman"/>
          <w:sz w:val="17"/>
          <w:szCs w:val="17"/>
          <w:color w:val="auto"/>
        </w:rPr>
      </w:pPr>
    </w:p>
    <w:p>
      <w:pPr>
        <w:ind w:left="780" w:right="540" w:hanging="254"/>
        <w:spacing w:after="0" w:line="181" w:lineRule="auto"/>
        <w:tabs>
          <w:tab w:leader="none" w:pos="780" w:val="left"/>
        </w:tabs>
        <w:numPr>
          <w:ilvl w:val="0"/>
          <w:numId w:val="5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we deposit to the DSRA 50% of any cash disbursements to unitholders (e.g., dividends) exceeding $20.0 million per annum, capped at 1/3 of the par value of the Bonds outstanding at the time; and</w:t>
      </w:r>
    </w:p>
    <w:p>
      <w:pPr>
        <w:spacing w:after="0" w:line="184" w:lineRule="exact"/>
        <w:rPr>
          <w:rFonts w:ascii="Times New Roman" w:cs="Times New Roman" w:eastAsia="Times New Roman" w:hAnsi="Times New Roman"/>
          <w:sz w:val="32"/>
          <w:szCs w:val="32"/>
          <w:color w:val="auto"/>
          <w:vertAlign w:val="subscript"/>
        </w:rPr>
      </w:pPr>
    </w:p>
    <w:p>
      <w:pPr>
        <w:ind w:left="780" w:right="260" w:hanging="254"/>
        <w:spacing w:after="0" w:line="181" w:lineRule="auto"/>
        <w:tabs>
          <w:tab w:leader="none" w:pos="780" w:val="left"/>
        </w:tabs>
        <w:numPr>
          <w:ilvl w:val="0"/>
          <w:numId w:val="5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if our MVAN falls below $300.0 million then to deposit to the DSRA the difference between the MVAN and the $300.0 million (capped to 1/3 of the par value of the Bonds outstanding).</w:t>
      </w:r>
    </w:p>
    <w:p>
      <w:pPr>
        <w:spacing w:after="0" w:line="3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Furthermore, all our financing arrangements other than the Bonds provide that:</w:t>
      </w:r>
    </w:p>
    <w:p>
      <w:pPr>
        <w:spacing w:after="0" w:line="2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we are required to maintain a minimum security coverage ratio, usually defined as the ratio of the market value of the collateralized vessels or vessel and</w:t>
      </w:r>
    </w:p>
    <w:p>
      <w:pPr>
        <w:spacing w:after="0" w:line="21" w:lineRule="exact"/>
        <w:rPr>
          <w:sz w:val="20"/>
          <w:szCs w:val="20"/>
          <w:color w:val="auto"/>
        </w:rPr>
      </w:pPr>
    </w:p>
    <w:p>
      <w:pPr>
        <w:ind w:left="780" w:right="220" w:hanging="254"/>
        <w:spacing w:after="0" w:line="252" w:lineRule="auto"/>
        <w:tabs>
          <w:tab w:leader="none" w:pos="7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realizable value of additional acceptable security to the respective outstanding amount under the applicable financing arrangement between 110% and 125%;</w:t>
      </w:r>
    </w:p>
    <w:p>
      <w:pPr>
        <w:spacing w:after="0" w:line="174" w:lineRule="exact"/>
        <w:rPr>
          <w:rFonts w:ascii="Times New Roman" w:cs="Times New Roman" w:eastAsia="Times New Roman" w:hAnsi="Times New Roman"/>
          <w:sz w:val="17"/>
          <w:szCs w:val="17"/>
          <w:color w:val="auto"/>
        </w:rPr>
      </w:pPr>
    </w:p>
    <w:p>
      <w:pPr>
        <w:ind w:left="780" w:right="880" w:hanging="254"/>
        <w:spacing w:after="0" w:line="181" w:lineRule="auto"/>
        <w:tabs>
          <w:tab w:leader="none" w:pos="780" w:val="left"/>
        </w:tabs>
        <w:numPr>
          <w:ilvl w:val="0"/>
          <w:numId w:val="6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the vessel-owning subsidiaries may pay dividends or make distributions provided that no event of default has occurred and the payment of such dividend or distribution does not result in an event of default, including a breach of any of the financial covenants; and</w:t>
      </w:r>
    </w:p>
    <w:p>
      <w:pPr>
        <w:spacing w:after="0" w:line="184" w:lineRule="exact"/>
        <w:rPr>
          <w:rFonts w:ascii="Times New Roman" w:cs="Times New Roman" w:eastAsia="Times New Roman" w:hAnsi="Times New Roman"/>
          <w:sz w:val="32"/>
          <w:szCs w:val="32"/>
          <w:color w:val="auto"/>
          <w:vertAlign w:val="subscript"/>
        </w:rPr>
      </w:pPr>
    </w:p>
    <w:p>
      <w:pPr>
        <w:ind w:left="780" w:right="480" w:hanging="254"/>
        <w:spacing w:after="0" w:line="181" w:lineRule="auto"/>
        <w:tabs>
          <w:tab w:leader="none" w:pos="780" w:val="left"/>
        </w:tabs>
        <w:numPr>
          <w:ilvl w:val="0"/>
          <w:numId w:val="6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the earnings, insurances and requisition compensation of the vessels are required to be assigned as collateral and additional security, including pledge and charge on current account, corporate guarantee from each of the vessel-owning subsidiaries and mortgage interest insurance, is also required.</w:t>
      </w:r>
    </w:p>
    <w:p>
      <w:pPr>
        <w:spacing w:after="0" w:line="18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These financing arrangements are secured by first-priority mortgages over all our vessels and are guaranteed by each vessel-owning subsidiary and contain a “Market Disruption Clause,” which the lenders may unilaterally trigger, requiring us to compensate the lenders for any increases to their funding costs caused by disruptions to the market.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December 31, 2022, we were in compliance with all financial debt covenants under all our financing arrangements.</w:t>
      </w:r>
    </w:p>
    <w:p>
      <w:pPr>
        <w:spacing w:after="0" w:line="205"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to make further loans to us (if any) may terminate. We may not have, or be able to obtain, sufficient funds to make these accelerated payments. In addition, obligations under certain of our credit facilities are secured by our vessels or through the ownership of the vessels, and if we are unable to repay, or otherwise default on, our financing arrangements, the lenders could seek to take control of these assets.</w:t>
      </w:r>
    </w:p>
    <w:p>
      <w:pPr>
        <w:spacing w:after="0" w:line="181"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Furthermore, any contemplated vessel acquisitions will have to be at levels that do not impair the required ratios described above.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10% in the fair market values of our vessels would not cause any violation of the indebtedness to market value covenants, contained in our financing arrangements.</w:t>
      </w:r>
    </w:p>
    <w:p>
      <w:pPr>
        <w:spacing w:after="0" w:line="172" w:lineRule="exact"/>
        <w:rPr>
          <w:sz w:val="20"/>
          <w:szCs w:val="20"/>
          <w:color w:val="auto"/>
        </w:rPr>
      </w:pPr>
    </w:p>
    <w:p>
      <w:pPr>
        <w:ind w:left="1060" w:hanging="534"/>
        <w:spacing w:after="0"/>
        <w:tabs>
          <w:tab w:leader="none" w:pos="106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and Development. Not applicable.</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Trend Information.</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results of operations depend primarily on the charter hire rates that we are able to realize for our vessels, which depend on, among other things, the demand and supply dynamics characterizing the container, the LNG and drybulk markets at the time of re-chartering a vessel. For other trends affecting our business please see other discussions in “—A. Operating Results” above.</w:t>
      </w:r>
    </w:p>
    <w:p>
      <w:pPr>
        <w:spacing w:after="0" w:line="165" w:lineRule="exact"/>
        <w:rPr>
          <w:sz w:val="20"/>
          <w:szCs w:val="20"/>
          <w:color w:val="auto"/>
        </w:rPr>
      </w:pPr>
    </w:p>
    <w:p>
      <w:pPr>
        <w:ind w:left="1060" w:hanging="534"/>
        <w:spacing w:after="0"/>
        <w:tabs>
          <w:tab w:leader="none" w:pos="106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Critical Accounting Estimates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Critical accounting estimates are those estimates made in accordance with U.S. GAAP that involve a significant level of estimation uncertainty and have had or are reasonably likely to have a material impact on our financial condition or results of operations. We have described below what we believe our critical accounting estimates are. For a description of our significant accounting policies, see Note 2 (Significant Accounting Policies) to our Financial Statements.</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carrying value of each of our vessels represents its original cost (contract price, initial expenditures and improvements)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newbuilds.</w:t>
      </w:r>
    </w:p>
    <w:p>
      <w:pPr>
        <w:spacing w:after="0" w:line="16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The table below specifies (i) the carrying value of each of our vessels as of December 31, 2022 and 2021 and (ii) which of those vessels we believe had a charter-free market value below its carrying value. We believe that the aggregate carrying value of the vessels indicated with an asterisk below exceeded their aggregate basic charter-free market value by approximately $5.9 million and $3.3 million as of December 31, 2022 and 2021, respectively. This aggregate difference represents the approximate analysis of the amount by which we believe we would have to reduce our net income if we sold all of such vessels in the current environment, on industry standard terms, in cash transactions, to a willing buyer in circumstances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78"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estimates of basic market value assume that the vessels are all in good and seaworthy condition without need for repair and, if inspected, would be certified in class without notations of any kind. Our estimates are based on the average of two estimated market values for the vessels received from third-party independent shipbrokers approved by our financing providers. Vessel values are highly volatile. Accordingly, as such, our estimates may not be indicative of the current or future basic market value of the vessels or prices that could be achieved if the vessels were to be sold.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value as of</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 as of</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1"/>
        </w:trPr>
        <w:tc>
          <w:tcPr>
            <w:tcW w:w="7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Vessels</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 acquired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60"/>
        </w:trPr>
        <w:tc>
          <w:tcPr>
            <w:tcW w:w="74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380" w:type="dxa"/>
            <w:vAlign w:val="bottom"/>
            <w:gridSpan w:val="4"/>
            <w:vMerge w:val="restart"/>
          </w:tcPr>
          <w:p>
            <w:pPr>
              <w:jc w:val="right"/>
              <w:ind w:right="157"/>
              <w:spacing w:after="0" w:line="172" w:lineRule="exact"/>
              <w:rPr>
                <w:sz w:val="20"/>
                <w:szCs w:val="20"/>
                <w:color w:val="auto"/>
              </w:rPr>
            </w:pPr>
            <w:r>
              <w:rPr>
                <w:rFonts w:ascii="Times New Roman" w:cs="Times New Roman" w:eastAsia="Times New Roman" w:hAnsi="Times New Roman"/>
                <w:sz w:val="17"/>
                <w:szCs w:val="17"/>
                <w:b w:val="1"/>
                <w:bCs w:val="1"/>
                <w:color w:val="auto"/>
              </w:rPr>
              <w:t>(in millions of United States</w:t>
            </w:r>
          </w:p>
        </w:tc>
        <w:tc>
          <w:tcPr>
            <w:tcW w:w="0" w:type="dxa"/>
            <w:vAlign w:val="bottom"/>
          </w:tcPr>
          <w:p>
            <w:pPr>
              <w:spacing w:after="0"/>
              <w:rPr>
                <w:sz w:val="1"/>
                <w:szCs w:val="1"/>
                <w:color w:val="auto"/>
              </w:rPr>
            </w:pPr>
          </w:p>
        </w:tc>
      </w:tr>
      <w:tr>
        <w:trPr>
          <w:trHeight w:val="113"/>
        </w:trPr>
        <w:tc>
          <w:tcPr>
            <w:tcW w:w="7420" w:type="dxa"/>
            <w:vAlign w:val="bottom"/>
            <w:vMerge w:val="continue"/>
          </w:tcPr>
          <w:p>
            <w:pPr>
              <w:spacing w:after="0"/>
              <w:rPr>
                <w:sz w:val="9"/>
                <w:szCs w:val="9"/>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by us</w:t>
            </w:r>
          </w:p>
        </w:tc>
        <w:tc>
          <w:tcPr>
            <w:tcW w:w="20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gridSpan w:val="4"/>
            <w:vMerge w:val="restart"/>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13"/>
        </w:trPr>
        <w:tc>
          <w:tcPr>
            <w:tcW w:w="7420" w:type="dxa"/>
            <w:vAlign w:val="bottom"/>
            <w:tcBorders>
              <w:bottom w:val="single" w:sz="8" w:color="CCECFF"/>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M/V Cape Agamemnon</w:t>
            </w:r>
          </w:p>
        </w:tc>
        <w:tc>
          <w:tcPr>
            <w:tcW w:w="1140" w:type="dxa"/>
            <w:vAlign w:val="bottom"/>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5"/>
              </w:rPr>
              <w:t>06/09/2011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Archimidis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12/22/2012</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Agamemnon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12/22/2012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Hyundai Prestige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09/11/2013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Hyundai Premium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03/20/2013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Hyundai Paramount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03/27/2013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Hyundai Privilege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09/11/2013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Hyundai Platinum</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09/11/2013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Akadimos (ex CMA CGM Amazon)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06/10/2015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Athenian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01/22/2020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Athos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01/23/2020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Aristomenis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01/23/2020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Long Beach Express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02/25/2021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M/V Seattle Express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02/25/2021</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M/V Fos Express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02/25/2021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LNG/C Aristos 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09/03/2021</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LNG/C Aristarchos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09/03/2021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LNG/C Aristidis 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12/16/2021</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LNG/C Attalos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11/18/2021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LNG/C Adamastos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11/29/2021</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LNG/C Asklipios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11/18/2021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0" w:type="dxa"/>
            <w:vAlign w:val="bottom"/>
          </w:tcPr>
          <w:p>
            <w:pPr>
              <w:spacing w:after="0"/>
              <w:rPr>
                <w:sz w:val="1"/>
                <w:szCs w:val="1"/>
                <w:color w:val="auto"/>
              </w:rPr>
            </w:pPr>
          </w:p>
        </w:tc>
      </w:tr>
      <w:tr>
        <w:trPr>
          <w:trHeight w:val="200"/>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M/V Manzanillo Express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8"/>
              </w:rPr>
              <w:t>10/12/2022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1,757.9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1,781.9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right="260" w:hanging="380"/>
        <w:spacing w:after="0" w:line="259" w:lineRule="auto"/>
        <w:tabs>
          <w:tab w:leader="none" w:pos="3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vessels for which we believe that, as of December 31, 2022 and 2021, the carrying value exceeds the basic charter-free market value. As discussed below, we believe that the carrying values of our vessels as of December 31, 2022 and 2021 were recoverable as the undiscounted projected net operating cash flows of these vessels exceeded their carrying value by a significant amount.</w:t>
      </w:r>
    </w:p>
    <w:p>
      <w:pPr>
        <w:spacing w:after="0" w:line="169" w:lineRule="exact"/>
        <w:rPr>
          <w:sz w:val="20"/>
          <w:szCs w:val="20"/>
          <w:color w:val="auto"/>
        </w:rPr>
      </w:pPr>
    </w:p>
    <w:p>
      <w:pPr>
        <w:ind w:right="500" w:firstLine="523"/>
        <w:spacing w:after="0" w:line="272" w:lineRule="auto"/>
        <w:rPr>
          <w:sz w:val="20"/>
          <w:szCs w:val="20"/>
          <w:color w:val="auto"/>
        </w:rPr>
      </w:pPr>
      <w:r>
        <w:rPr>
          <w:rFonts w:ascii="Times New Roman" w:cs="Times New Roman" w:eastAsia="Times New Roman" w:hAnsi="Times New Roman"/>
          <w:sz w:val="17"/>
          <w:szCs w:val="17"/>
          <w:color w:val="auto"/>
        </w:rPr>
        <w:t>We performed undiscounted cash flow tests as of December 31, 2022 and 2021, as an impairment analysis, in which we made estimates and assumptions relating to determining the projected undiscounted net operating cash flows by considering the following:</w:t>
      </w:r>
    </w:p>
    <w:p>
      <w:pPr>
        <w:spacing w:after="0" w:line="158" w:lineRule="exact"/>
        <w:rPr>
          <w:sz w:val="20"/>
          <w:szCs w:val="20"/>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 revenues from existing time charters for the fixed fleet days (our remaining charter agreement rates);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operating expenses;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dry-docking expenditures;</w:t>
      </w:r>
    </w:p>
    <w:p>
      <w:pPr>
        <w:spacing w:after="0" w:line="205" w:lineRule="exact"/>
        <w:rPr>
          <w:rFonts w:ascii="Times New Roman" w:cs="Times New Roman" w:eastAsia="Times New Roman" w:hAnsi="Times New Roman"/>
          <w:sz w:val="17"/>
          <w:szCs w:val="17"/>
          <w:color w:val="auto"/>
        </w:rPr>
      </w:pPr>
    </w:p>
    <w:p>
      <w:pPr>
        <w:ind w:left="780" w:right="140" w:hanging="254"/>
        <w:spacing w:after="0" w:line="272" w:lineRule="auto"/>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estimated gross daily time charter rate for the unfixed days (based on the ten-year historical average of time charters with duration of one year) over the remaining economic life of each vessel, excluding days of scheduled off-hires;</w:t>
      </w:r>
    </w:p>
    <w:p>
      <w:pPr>
        <w:spacing w:after="0" w:line="158"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residual value of vessels;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technical management fees;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utilization rate of 99.5% based on the fleet’s historical performance; and</w:t>
      </w:r>
    </w:p>
    <w:p>
      <w:pPr>
        <w:spacing w:after="0" w:line="230"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estimated life of our vessels.</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59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724" w:gutter="0" w:footer="0" w:header="0"/>
        </w:sectPr>
      </w:pPr>
    </w:p>
    <w:bookmarkStart w:id="61" w:name="page62"/>
    <w:bookmarkEnd w:id="61"/>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assumptions, based on historical trends, and our accounting policies are as follows:</w:t>
      </w:r>
    </w:p>
    <w:p>
      <w:pPr>
        <w:spacing w:after="0" w:line="205" w:lineRule="exact"/>
        <w:rPr>
          <w:sz w:val="20"/>
          <w:szCs w:val="20"/>
          <w:color w:val="auto"/>
        </w:rPr>
      </w:pPr>
    </w:p>
    <w:p>
      <w:pPr>
        <w:ind w:left="780" w:right="220" w:hanging="254"/>
        <w:spacing w:after="0" w:line="272"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prevailing industry standard, depreciation is calculated using an estimated useful life of 25 years for our container and bulk carrier vessels and 35 years for our LNG carrier vessels, commencing at the date the vessel was originally delivered from the shipyard;</w:t>
      </w:r>
    </w:p>
    <w:p>
      <w:pPr>
        <w:spacing w:after="0" w:line="158" w:lineRule="exact"/>
        <w:rPr>
          <w:rFonts w:ascii="Times New Roman" w:cs="Times New Roman" w:eastAsia="Times New Roman" w:hAnsi="Times New Roman"/>
          <w:sz w:val="17"/>
          <w:szCs w:val="17"/>
          <w:color w:val="auto"/>
        </w:rPr>
      </w:pPr>
    </w:p>
    <w:p>
      <w:pPr>
        <w:ind w:left="780" w:right="740" w:hanging="254"/>
        <w:spacing w:after="0" w:line="272"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useful life of vessels takes into account design life, commercial considerations and regulatory restrictions based on our fleet’s historical performance;</w:t>
      </w:r>
    </w:p>
    <w:p>
      <w:pPr>
        <w:spacing w:after="0" w:line="158" w:lineRule="exact"/>
        <w:rPr>
          <w:rFonts w:ascii="Times New Roman" w:cs="Times New Roman" w:eastAsia="Times New Roman" w:hAnsi="Times New Roman"/>
          <w:sz w:val="17"/>
          <w:szCs w:val="17"/>
          <w:color w:val="auto"/>
        </w:rPr>
      </w:pPr>
    </w:p>
    <w:p>
      <w:pPr>
        <w:jc w:val="both"/>
        <w:ind w:left="780" w:hanging="254"/>
        <w:spacing w:after="0" w:line="259"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charter rates are based on rates under existing vessel contracts and thereafter at market rates at which we expect we can re-charter our vessels based on market trends. We believe that the ten-year historical average is appropriate (or less than ten years if appropriate data is not available) for the following reasons:</w:t>
      </w:r>
    </w:p>
    <w:p>
      <w:pPr>
        <w:spacing w:after="0" w:line="168"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reflects more accurately the earnings capacity of the type, specification, deadweight capacity and average age of our vessels;</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reflects the type of business conducted by us (period as opposed to spot);</w:t>
      </w:r>
    </w:p>
    <w:p>
      <w:pPr>
        <w:spacing w:after="0" w:line="230"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includes at least one market cycle; and</w:t>
      </w:r>
    </w:p>
    <w:p>
      <w:pPr>
        <w:spacing w:after="0" w:line="205"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respective data series are adequately populated.</w:t>
      </w:r>
    </w:p>
    <w:p>
      <w:pPr>
        <w:spacing w:after="0" w:line="205" w:lineRule="exact"/>
        <w:rPr>
          <w:rFonts w:ascii="Times New Roman" w:cs="Times New Roman" w:eastAsia="Times New Roman" w:hAnsi="Times New Roman"/>
          <w:sz w:val="17"/>
          <w:szCs w:val="17"/>
          <w:color w:val="auto"/>
        </w:rPr>
      </w:pPr>
    </w:p>
    <w:p>
      <w:pPr>
        <w:ind w:left="780" w:right="160" w:hanging="254"/>
        <w:spacing w:after="0" w:line="272"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vessel utilization, including estimated off-hire time and the estimated amount of time our vessels may spend operating on the spot market, are based on the historical experience of our fleet;</w:t>
      </w:r>
    </w:p>
    <w:p>
      <w:pPr>
        <w:spacing w:after="0" w:line="158" w:lineRule="exact"/>
        <w:rPr>
          <w:rFonts w:ascii="Times New Roman" w:cs="Times New Roman" w:eastAsia="Times New Roman" w:hAnsi="Times New Roman"/>
          <w:sz w:val="17"/>
          <w:szCs w:val="17"/>
          <w:color w:val="auto"/>
        </w:rPr>
      </w:pPr>
    </w:p>
    <w:p>
      <w:pPr>
        <w:ind w:left="780" w:right="100" w:hanging="254"/>
        <w:spacing w:after="0" w:line="272"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operating expenses and dry-docking expenditures are based on historical operating and dry-docking costs based on the historical experience of our fleet and our expectations of future operating requirements;</w:t>
      </w:r>
    </w:p>
    <w:p>
      <w:pPr>
        <w:spacing w:after="0" w:line="158" w:lineRule="exact"/>
        <w:rPr>
          <w:rFonts w:ascii="Times New Roman" w:cs="Times New Roman" w:eastAsia="Times New Roman" w:hAnsi="Times New Roman"/>
          <w:sz w:val="17"/>
          <w:szCs w:val="17"/>
          <w:color w:val="auto"/>
        </w:rPr>
      </w:pPr>
    </w:p>
    <w:p>
      <w:pPr>
        <w:ind w:left="780" w:right="140" w:hanging="254"/>
        <w:spacing w:after="0" w:line="272" w:lineRule="auto"/>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residual values are a product of a vessel’s lightweight tonnage and an estimated scrap rate based on the ten-year historical average demolition prices per ton; and</w:t>
      </w:r>
    </w:p>
    <w:p>
      <w:pPr>
        <w:spacing w:after="0" w:line="158" w:lineRule="exact"/>
        <w:rPr>
          <w:rFonts w:ascii="Times New Roman" w:cs="Times New Roman" w:eastAsia="Times New Roman" w:hAnsi="Times New Roman"/>
          <w:sz w:val="17"/>
          <w:szCs w:val="17"/>
          <w:color w:val="auto"/>
        </w:rPr>
      </w:pPr>
    </w:p>
    <w:p>
      <w:pPr>
        <w:ind w:left="780" w:hanging="25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estimated lives of our vessels used in our estimates of future cash flows are consistent with those used in our depreciation calculations.</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impairment test that we conduct is most sensitive to variances in future time charter rates. Based on the sensitivity analysis performed for December 31, 2022 and 2021, we would begin recording impairment on the first vessel that will incur impairment by vessel type for time charter declines from their ten-year historical averages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17"/>
                <w:szCs w:val="17"/>
                <w:color w:val="auto"/>
              </w:rPr>
            </w:pPr>
          </w:p>
        </w:tc>
        <w:tc>
          <w:tcPr>
            <w:tcW w:w="7980" w:type="dxa"/>
            <w:vAlign w:val="bottom"/>
            <w:gridSpan w:val="3"/>
          </w:tcPr>
          <w:p>
            <w:pPr>
              <w:jc w:val="right"/>
              <w:ind w:right="2257"/>
              <w:spacing w:after="0"/>
              <w:rPr>
                <w:sz w:val="20"/>
                <w:szCs w:val="20"/>
                <w:color w:val="auto"/>
              </w:rPr>
            </w:pPr>
            <w:r>
              <w:rPr>
                <w:rFonts w:ascii="Times New Roman" w:cs="Times New Roman" w:eastAsia="Times New Roman" w:hAnsi="Times New Roman"/>
                <w:sz w:val="17"/>
                <w:szCs w:val="17"/>
                <w:b w:val="1"/>
                <w:bCs w:val="1"/>
                <w:color w:val="auto"/>
              </w:rPr>
              <w:t>Percentage Decline from which Impairment would be recorded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1"/>
        </w:trPr>
        <w:tc>
          <w:tcPr>
            <w:tcW w:w="2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Type of vessels</w:t>
            </w:r>
          </w:p>
        </w:tc>
        <w:tc>
          <w:tcPr>
            <w:tcW w:w="7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Cape vessel</w:t>
            </w:r>
          </w:p>
        </w:tc>
        <w:tc>
          <w:tcPr>
            <w:tcW w:w="6680" w:type="dxa"/>
            <w:vAlign w:val="bottom"/>
            <w:shd w:val="clear" w:color="auto" w:fill="CCECFF"/>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Based on the above assumptions we determined that the undiscounted cash flows support the vessels’ carrying amounts as of December 31, 2022 and 2021.</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of Capital Product Partners L.P</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w:t>
      </w:r>
    </w:p>
    <w:p>
      <w:pPr>
        <w:spacing w:after="0" w:line="158" w:lineRule="exact"/>
        <w:rPr>
          <w:sz w:val="20"/>
          <w:szCs w:val="20"/>
          <w:color w:val="auto"/>
        </w:rPr>
      </w:pPr>
    </w:p>
    <w:p>
      <w:pPr>
        <w:jc w:val="both"/>
        <w:ind w:firstLine="523"/>
        <w:spacing w:after="0" w:line="275" w:lineRule="auto"/>
        <w:rPr>
          <w:sz w:val="20"/>
          <w:szCs w:val="20"/>
          <w:color w:val="auto"/>
        </w:rPr>
      </w:pPr>
      <w:r>
        <w:rPr>
          <w:rFonts w:ascii="Times New Roman" w:cs="Times New Roman" w:eastAsia="Times New Roman" w:hAnsi="Times New Roman"/>
          <w:sz w:val="16"/>
          <w:szCs w:val="16"/>
          <w:color w:val="auto"/>
        </w:rPr>
        <w:t>Our General Partner, Capital GP L.L.C., manages our day-to-day activities consistent with the policies and procedures adopted by our board of directors. 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Operations—We depend on our General Partner, a private company under the ownership of Mr. Miltiadis E. Marinakis, for the day-to-day management of our affairs.”.</w:t>
      </w:r>
    </w:p>
    <w:p>
      <w:pPr>
        <w:spacing w:after="0" w:line="15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board of directors currently consists of seven members, including two members who are designated by our General Partner in its sole discretion and five members who are elected by the common unitholders.</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6"/>
          <w:szCs w:val="16"/>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60"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At our annual general meeting of unitholders held on September 22, 2022, Eleni Tsoukala and Keith Forman were elected to act as a Class III Directors until the Partnership’s 2025 annual meeting of Limited Partners.</w:t>
      </w:r>
    </w:p>
    <w:p>
      <w:pPr>
        <w:spacing w:after="0" w:line="158"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General Partner intends to cause its officers to devote as much time as is necessary for the proper conduct of our business and affairs. Our General Partner’s Chief Executive Officer, Mr. Gerasimos (Jerry) Kalogiratos, Chief Financial Officer, Mr. Nikolaos Kalapotharakos and Chief Commercial Officer, Spyridon Leousis, allocate their time between managing our business and affairs and the business and affairs of Capital Maritime, and/or its affiliates. The amount of time they allocate between our business and their other positions varies from time to time depending on various circumstances and needs of the businesses, such as the relative levels of strategic activities of the businesses.</w:t>
      </w:r>
    </w:p>
    <w:p>
      <w:pPr>
        <w:spacing w:after="0" w:line="176"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177" w:lineRule="exact"/>
        <w:rPr>
          <w:sz w:val="20"/>
          <w:szCs w:val="20"/>
          <w:color w:val="auto"/>
        </w:rPr>
      </w:pPr>
    </w:p>
    <w:p>
      <w:pPr>
        <w:ind w:left="620" w:hanging="532"/>
        <w:spacing w:after="0"/>
        <w:tabs>
          <w:tab w:leader="none" w:pos="6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Directors and Senior Management.</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Set forth below are the names, ages and positions of our directors and our General Partner’s executive officers as of the date of this Annual Report.</w:t>
      </w:r>
    </w:p>
    <w:p>
      <w:pPr>
        <w:sectPr>
          <w:pgSz w:w="11900" w:h="16838" w:orient="portrait"/>
          <w:cols w:equalWidth="0" w:num="1">
            <w:col w:w="11240"/>
          </w:cols>
          <w:pgMar w:left="320" w:top="545" w:right="33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r>
      <w:tr>
        <w:trPr>
          <w:trHeight w:val="291"/>
        </w:trPr>
        <w:tc>
          <w:tcPr>
            <w:tcW w:w="20" w:type="dxa"/>
            <w:vAlign w:val="bottom"/>
          </w:tcPr>
          <w:p>
            <w:pPr>
              <w:spacing w:after="0"/>
              <w:rPr>
                <w:sz w:val="24"/>
                <w:szCs w:val="24"/>
                <w:color w:val="auto"/>
              </w:rPr>
            </w:pPr>
          </w:p>
        </w:tc>
        <w:tc>
          <w:tcPr>
            <w:tcW w:w="6620" w:type="dxa"/>
            <w:vAlign w:val="bottom"/>
            <w:tcBorders>
              <w:top w:val="single" w:sz="8" w:color="auto"/>
            </w:tcBorders>
          </w:tcPr>
          <w:p>
            <w:pPr>
              <w:spacing w:after="0" w:line="290" w:lineRule="exact"/>
              <w:rPr>
                <w:sz w:val="20"/>
                <w:szCs w:val="20"/>
                <w:color w:val="auto"/>
              </w:rPr>
            </w:pPr>
            <w:r>
              <w:rPr>
                <w:rFonts w:ascii="Times New Roman" w:cs="Times New Roman" w:eastAsia="Times New Roman" w:hAnsi="Times New Roman"/>
                <w:sz w:val="17"/>
                <w:szCs w:val="17"/>
                <w:color w:val="auto"/>
              </w:rPr>
              <w:t>Keith Forman</w:t>
            </w:r>
            <w:r>
              <w:rPr>
                <w:rFonts w:ascii="Times New Roman" w:cs="Times New Roman" w:eastAsia="Times New Roman" w:hAnsi="Times New Roman"/>
                <w:sz w:val="27"/>
                <w:szCs w:val="27"/>
                <w:color w:val="auto"/>
                <w:vertAlign w:val="superscript"/>
              </w:rPr>
              <w:t>(4)</w:t>
            </w:r>
          </w:p>
        </w:tc>
        <w:tc>
          <w:tcPr>
            <w:tcW w:w="12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r>
      <w:tr>
        <w:trPr>
          <w:trHeight w:val="326"/>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Gerasimos (Jerry) Kalogiratos</w:t>
            </w:r>
            <w:r>
              <w:rPr>
                <w:rFonts w:ascii="Times New Roman" w:cs="Times New Roman" w:eastAsia="Times New Roman" w:hAnsi="Times New Roman"/>
                <w:sz w:val="27"/>
                <w:szCs w:val="27"/>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r>
      <w:tr>
        <w:trPr>
          <w:trHeight w:val="238"/>
        </w:trPr>
        <w:tc>
          <w:tcPr>
            <w:tcW w:w="6760" w:type="dxa"/>
            <w:vAlign w:val="bottom"/>
            <w:gridSpan w:val="3"/>
          </w:tcPr>
          <w:p>
            <w:pPr>
              <w:spacing w:after="0" w:line="237" w:lineRule="exact"/>
              <w:rPr>
                <w:sz w:val="20"/>
                <w:szCs w:val="20"/>
                <w:color w:val="auto"/>
              </w:rPr>
            </w:pPr>
            <w:r>
              <w:rPr>
                <w:rFonts w:ascii="Times New Roman" w:cs="Times New Roman" w:eastAsia="Times New Roman" w:hAnsi="Times New Roman"/>
                <w:sz w:val="17"/>
                <w:szCs w:val="17"/>
                <w:color w:val="auto"/>
              </w:rPr>
              <w:t>Gurpal Grewal</w:t>
            </w:r>
            <w:r>
              <w:rPr>
                <w:rFonts w:ascii="Times New Roman" w:cs="Times New Roman" w:eastAsia="Times New Roman" w:hAnsi="Times New Roman"/>
                <w:sz w:val="27"/>
                <w:szCs w:val="27"/>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r>
      <w:tr>
        <w:trPr>
          <w:trHeight w:val="238"/>
        </w:trPr>
        <w:tc>
          <w:tcPr>
            <w:tcW w:w="6760" w:type="dxa"/>
            <w:vAlign w:val="bottom"/>
            <w:gridSpan w:val="3"/>
          </w:tcPr>
          <w:p>
            <w:pPr>
              <w:spacing w:after="0" w:line="237" w:lineRule="exact"/>
              <w:rPr>
                <w:sz w:val="20"/>
                <w:szCs w:val="20"/>
                <w:color w:val="auto"/>
              </w:rPr>
            </w:pPr>
            <w:r>
              <w:rPr>
                <w:rFonts w:ascii="Times New Roman" w:cs="Times New Roman" w:eastAsia="Times New Roman" w:hAnsi="Times New Roman"/>
                <w:sz w:val="17"/>
                <w:szCs w:val="17"/>
                <w:color w:val="auto"/>
              </w:rPr>
              <w:t>Rory Hussey</w:t>
            </w:r>
            <w:r>
              <w:rPr>
                <w:rFonts w:ascii="Times New Roman" w:cs="Times New Roman" w:eastAsia="Times New Roman" w:hAnsi="Times New Roman"/>
                <w:sz w:val="27"/>
                <w:szCs w:val="27"/>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r>
      <w:tr>
        <w:trPr>
          <w:trHeight w:val="238"/>
        </w:trPr>
        <w:tc>
          <w:tcPr>
            <w:tcW w:w="6760" w:type="dxa"/>
            <w:vAlign w:val="bottom"/>
            <w:gridSpan w:val="3"/>
          </w:tcPr>
          <w:p>
            <w:pPr>
              <w:spacing w:after="0" w:line="237" w:lineRule="exact"/>
              <w:rPr>
                <w:sz w:val="20"/>
                <w:szCs w:val="20"/>
                <w:color w:val="auto"/>
              </w:rPr>
            </w:pPr>
            <w:r>
              <w:rPr>
                <w:rFonts w:ascii="Times New Roman" w:cs="Times New Roman" w:eastAsia="Times New Roman" w:hAnsi="Times New Roman"/>
                <w:sz w:val="17"/>
                <w:szCs w:val="17"/>
                <w:color w:val="auto"/>
              </w:rPr>
              <w:t>Abel Rasterhoff</w:t>
            </w:r>
            <w:r>
              <w:rPr>
                <w:rFonts w:ascii="Times New Roman" w:cs="Times New Roman" w:eastAsia="Times New Roman" w:hAnsi="Times New Roman"/>
                <w:sz w:val="27"/>
                <w:szCs w:val="27"/>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r>
      <w:tr>
        <w:trPr>
          <w:trHeight w:val="238"/>
        </w:trPr>
        <w:tc>
          <w:tcPr>
            <w:tcW w:w="6760" w:type="dxa"/>
            <w:vAlign w:val="bottom"/>
            <w:gridSpan w:val="3"/>
          </w:tcPr>
          <w:p>
            <w:pPr>
              <w:spacing w:after="0" w:line="237" w:lineRule="exact"/>
              <w:rPr>
                <w:sz w:val="20"/>
                <w:szCs w:val="20"/>
                <w:color w:val="auto"/>
              </w:rPr>
            </w:pPr>
            <w:r>
              <w:rPr>
                <w:rFonts w:ascii="Times New Roman" w:cs="Times New Roman" w:eastAsia="Times New Roman" w:hAnsi="Times New Roman"/>
                <w:sz w:val="17"/>
                <w:szCs w:val="17"/>
                <w:color w:val="auto"/>
              </w:rPr>
              <w:t>Eleni Tsoukala</w:t>
            </w:r>
            <w:r>
              <w:rPr>
                <w:rFonts w:ascii="Times New Roman" w:cs="Times New Roman" w:eastAsia="Times New Roman" w:hAnsi="Times New Roman"/>
                <w:sz w:val="27"/>
                <w:szCs w:val="27"/>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r>
      <w:tr>
        <w:trPr>
          <w:trHeight w:val="336"/>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Dimitris P. Christacopoulos</w:t>
            </w:r>
            <w:r>
              <w:rPr>
                <w:rFonts w:ascii="Times New Roman" w:cs="Times New Roman" w:eastAsia="Times New Roman" w:hAnsi="Times New Roman"/>
                <w:sz w:val="27"/>
                <w:szCs w:val="27"/>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7"/>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Nikolaos Kalapotharakos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r>
      <w:tr>
        <w:trPr>
          <w:trHeight w:val="401"/>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Spyridon Leousis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-1200150</wp:posOffset>
            </wp:positionV>
            <wp:extent cx="7142480" cy="15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151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-897890</wp:posOffset>
            </wp:positionV>
            <wp:extent cx="7142480" cy="151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2480" cy="151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-595630</wp:posOffset>
            </wp:positionV>
            <wp:extent cx="7142480" cy="151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2480" cy="151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-190500</wp:posOffset>
            </wp:positionV>
            <wp:extent cx="7142480" cy="254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2480" cy="2546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-1614170</wp:posOffset>
            </wp:positionV>
            <wp:extent cx="7142480" cy="159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159385"/>
                    </a:xfrm>
                    <a:prstGeom prst="rect">
                      <a:avLst/>
                    </a:prstGeom>
                    <a:noFill/>
                  </pic:spPr>
                </pic:pic>
              </a:graphicData>
            </a:graphic>
          </wp:anchor>
        </w:drawing>
      </w:r>
    </w:p>
    <w:p>
      <w:pPr>
        <w:spacing w:after="0" w:line="264" w:lineRule="exact"/>
        <w:rPr>
          <w:sz w:val="20"/>
          <w:szCs w:val="20"/>
          <w:color w:val="auto"/>
        </w:rPr>
      </w:pPr>
    </w:p>
    <w:p>
      <w:pPr>
        <w:ind w:left="820" w:hanging="219"/>
        <w:spacing w:after="0"/>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by our General Partner.</w:t>
      </w:r>
    </w:p>
    <w:p>
      <w:pPr>
        <w:spacing w:after="0" w:line="21"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 director (term expires in 2023).</w:t>
      </w:r>
    </w:p>
    <w:p>
      <w:pPr>
        <w:spacing w:after="0" w:line="4"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director (term expires in 2024).</w:t>
      </w:r>
    </w:p>
    <w:p>
      <w:pPr>
        <w:spacing w:after="0" w:line="4"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director (term expires in 2025).</w:t>
      </w:r>
    </w:p>
    <w:p>
      <w:pPr>
        <w:spacing w:after="0" w:line="4"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our audit committee, our conflicts committee and compensation committee.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Position</w:t>
      </w:r>
    </w:p>
    <w:p>
      <w:pPr>
        <w:spacing w:after="0" w:line="25" w:lineRule="exact"/>
        <w:rPr>
          <w:sz w:val="20"/>
          <w:szCs w:val="20"/>
          <w:color w:val="auto"/>
        </w:rPr>
      </w:pPr>
    </w:p>
    <w:p>
      <w:pPr>
        <w:jc w:val="both"/>
        <w:ind w:right="140"/>
        <w:spacing w:after="0" w:line="234" w:lineRule="auto"/>
        <w:rPr>
          <w:sz w:val="20"/>
          <w:szCs w:val="20"/>
          <w:color w:val="auto"/>
        </w:rPr>
      </w:pPr>
      <w:r>
        <w:rPr>
          <w:rFonts w:ascii="Times New Roman" w:cs="Times New Roman" w:eastAsia="Times New Roman" w:hAnsi="Times New Roman"/>
          <w:sz w:val="16"/>
          <w:szCs w:val="16"/>
          <w:color w:val="auto"/>
        </w:rPr>
        <w:t>Director and Chairman of the Board</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 xml:space="preserve"> Director and Chief Executive Officer of our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17" w:lineRule="auto"/>
        <w:rPr>
          <w:sz w:val="20"/>
          <w:szCs w:val="20"/>
          <w:color w:val="auto"/>
        </w:rPr>
      </w:pPr>
      <w:r>
        <w:rPr>
          <w:rFonts w:ascii="Times New Roman" w:cs="Times New Roman" w:eastAsia="Times New Roman" w:hAnsi="Times New Roman"/>
          <w:sz w:val="17"/>
          <w:szCs w:val="17"/>
          <w:color w:val="auto"/>
        </w:rPr>
        <w:t>Director</w:t>
      </w:r>
      <w:r>
        <w:rPr>
          <w:rFonts w:ascii="Times New Roman" w:cs="Times New Roman" w:eastAsia="Times New Roman" w:hAnsi="Times New Roman"/>
          <w:sz w:val="27"/>
          <w:szCs w:val="27"/>
          <w:color w:val="auto"/>
          <w:vertAlign w:val="superscript"/>
        </w:rPr>
        <w:t>(5)</w:t>
      </w:r>
    </w:p>
    <w:p>
      <w:pPr>
        <w:spacing w:after="0" w:line="184" w:lineRule="auto"/>
        <w:rPr>
          <w:sz w:val="20"/>
          <w:szCs w:val="20"/>
          <w:color w:val="auto"/>
        </w:rPr>
      </w:pPr>
      <w:r>
        <w:rPr>
          <w:rFonts w:ascii="Times New Roman" w:cs="Times New Roman" w:eastAsia="Times New Roman" w:hAnsi="Times New Roman"/>
          <w:sz w:val="17"/>
          <w:szCs w:val="17"/>
          <w:color w:val="auto"/>
        </w:rPr>
        <w:t>Director</w:t>
      </w:r>
      <w:r>
        <w:rPr>
          <w:rFonts w:ascii="Times New Roman" w:cs="Times New Roman" w:eastAsia="Times New Roman" w:hAnsi="Times New Roman"/>
          <w:sz w:val="27"/>
          <w:szCs w:val="27"/>
          <w:color w:val="auto"/>
          <w:vertAlign w:val="superscript"/>
        </w:rPr>
        <w:t>(5)</w:t>
      </w:r>
    </w:p>
    <w:p>
      <w:pPr>
        <w:spacing w:after="0" w:line="184" w:lineRule="auto"/>
        <w:rPr>
          <w:sz w:val="20"/>
          <w:szCs w:val="20"/>
          <w:color w:val="auto"/>
        </w:rPr>
      </w:pPr>
      <w:r>
        <w:rPr>
          <w:rFonts w:ascii="Times New Roman" w:cs="Times New Roman" w:eastAsia="Times New Roman" w:hAnsi="Times New Roman"/>
          <w:sz w:val="17"/>
          <w:szCs w:val="17"/>
          <w:color w:val="auto"/>
        </w:rPr>
        <w:t>Director</w:t>
      </w:r>
      <w:r>
        <w:rPr>
          <w:rFonts w:ascii="Times New Roman" w:cs="Times New Roman" w:eastAsia="Times New Roman" w:hAnsi="Times New Roman"/>
          <w:sz w:val="27"/>
          <w:szCs w:val="27"/>
          <w:color w:val="auto"/>
          <w:vertAlign w:val="superscript"/>
        </w:rPr>
        <w:t>(5)</w:t>
      </w:r>
    </w:p>
    <w:p>
      <w:pPr>
        <w:spacing w:after="0" w:line="184" w:lineRule="auto"/>
        <w:rPr>
          <w:sz w:val="20"/>
          <w:szCs w:val="20"/>
          <w:color w:val="auto"/>
        </w:rPr>
      </w:pPr>
      <w:r>
        <w:rPr>
          <w:rFonts w:ascii="Times New Roman" w:cs="Times New Roman" w:eastAsia="Times New Roman" w:hAnsi="Times New Roman"/>
          <w:sz w:val="17"/>
          <w:szCs w:val="17"/>
          <w:color w:val="auto"/>
        </w:rPr>
        <w:t>Director</w:t>
      </w:r>
      <w:r>
        <w:rPr>
          <w:rFonts w:ascii="Times New Roman" w:cs="Times New Roman" w:eastAsia="Times New Roman" w:hAnsi="Times New Roman"/>
          <w:sz w:val="27"/>
          <w:szCs w:val="27"/>
          <w:color w:val="auto"/>
          <w:vertAlign w:val="superscript"/>
        </w:rPr>
        <w:t>(5)</w:t>
      </w:r>
    </w:p>
    <w:p>
      <w:pPr>
        <w:spacing w:after="0" w:line="1"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7"/>
          <w:szCs w:val="17"/>
          <w:color w:val="auto"/>
        </w:rPr>
        <w:t>Chief Financial Officer of our General Partner</w:t>
      </w:r>
    </w:p>
    <w:p>
      <w:pPr>
        <w:ind w:right="20"/>
        <w:spacing w:after="0" w:line="252" w:lineRule="auto"/>
        <w:rPr>
          <w:sz w:val="20"/>
          <w:szCs w:val="20"/>
          <w:color w:val="auto"/>
        </w:rPr>
      </w:pPr>
      <w:r>
        <w:rPr>
          <w:rFonts w:ascii="Times New Roman" w:cs="Times New Roman" w:eastAsia="Times New Roman" w:hAnsi="Times New Roman"/>
          <w:sz w:val="17"/>
          <w:szCs w:val="17"/>
          <w:color w:val="auto"/>
        </w:rPr>
        <w:t>Chief Commercial Officer of our General Partner</w:t>
      </w:r>
    </w:p>
    <w:p>
      <w:pPr>
        <w:spacing w:after="0" w:line="1376" w:lineRule="exact"/>
        <w:rPr>
          <w:sz w:val="20"/>
          <w:szCs w:val="20"/>
          <w:color w:val="auto"/>
        </w:rPr>
      </w:pPr>
    </w:p>
    <w:p>
      <w:pPr>
        <w:sectPr>
          <w:pgSz w:w="11900" w:h="16838" w:orient="portrait"/>
          <w:cols w:equalWidth="0" w:num="2">
            <w:col w:w="8320" w:space="120"/>
            <w:col w:w="2800"/>
          </w:cols>
          <w:pgMar w:left="320" w:top="545" w:right="339" w:bottom="1440" w:gutter="0" w:footer="0" w:header="0"/>
          <w:type w:val="continuous"/>
        </w:sectPr>
      </w:pPr>
    </w:p>
    <w:p>
      <w:pPr>
        <w:ind w:right="440"/>
        <w:spacing w:after="0" w:line="272" w:lineRule="auto"/>
        <w:rPr>
          <w:sz w:val="20"/>
          <w:szCs w:val="20"/>
          <w:color w:val="auto"/>
        </w:rPr>
      </w:pPr>
      <w:r>
        <w:rPr>
          <w:rFonts w:ascii="Times New Roman" w:cs="Times New Roman" w:eastAsia="Times New Roman" w:hAnsi="Times New Roman"/>
          <w:sz w:val="17"/>
          <w:szCs w:val="17"/>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58" w:lineRule="exact"/>
        <w:rPr>
          <w:sz w:val="20"/>
          <w:szCs w:val="20"/>
          <w:color w:val="auto"/>
        </w:rPr>
      </w:pPr>
    </w:p>
    <w:p>
      <w:pPr>
        <w:jc w:val="both"/>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63" w:name="page64"/>
    <w:bookmarkEnd w:id="63"/>
    <w:p>
      <w:pPr>
        <w:ind w:left="540"/>
        <w:spacing w:after="0"/>
        <w:rPr>
          <w:sz w:val="20"/>
          <w:szCs w:val="20"/>
          <w:color w:val="auto"/>
        </w:rPr>
      </w:pPr>
      <w:r>
        <w:rPr>
          <w:rFonts w:ascii="Times New Roman" w:cs="Times New Roman" w:eastAsia="Times New Roman" w:hAnsi="Times New Roman"/>
          <w:sz w:val="17"/>
          <w:szCs w:val="17"/>
          <w:b w:val="1"/>
          <w:bCs w:val="1"/>
          <w:color w:val="auto"/>
        </w:rPr>
        <w:t>Keith Forman, Director and Chairman of the Board.</w:t>
      </w:r>
    </w:p>
    <w:p>
      <w:pPr>
        <w:spacing w:after="0" w:line="20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Mr. Forman is the chairman of our board of directors and a member of our conflicts committee, audit committee and compensation committee. Mr. Forman joined our board on April 3, 2007. Since July 2022, Mr. Forman has been acting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2022. In January 2020, Mr. Forman began a fellowship at Harvard University’s Advanced Leadership Initiative which ended on December 31, 2021. Mr. Forman has held a number of executive, director and advisory positions at investment companies and master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Gerasimos (Jerry) Kalogiratos, Director and Chief Executive Officer.</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Mr. Kalogiratos was appointed as the Chief Executive of our General Partner in June 2015. He has also previously served as Chief Financial Officer of our General Partner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17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DSSI.</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Nikolaos Kalapotharakos, Chief Financial Officer.</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Mr. Kalapotharakos was appointed as Chief Financial Officer of our General Partner on February 28, 2018.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Spyridon Leousis, Chief Commercial Officer.</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Mr. Leousis was appointed as Chief Commercial Officer of our General Partner on January 24, 2022. Mr. Leousis brings 18 years of global experience in the LNG shipping and finance industries. He currently serves as Business Development Director of Capital Gas and has previously worked as Head of Planning and Analysis for Nakilat, the largest LNG shipowner in the world and as Senior Consultant for the Treasury of National Bank of Greece. He holds an MEng in Naval Architecture and Marine Engineering from National Technical University of Athens and an MBA from Athens University of Economics and Business.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Gurpal Grewal, Director.</w:t>
      </w:r>
    </w:p>
    <w:p>
      <w:pPr>
        <w:spacing w:after="0" w:line="209" w:lineRule="exact"/>
        <w:rPr>
          <w:sz w:val="20"/>
          <w:szCs w:val="20"/>
          <w:color w:val="auto"/>
        </w:rPr>
      </w:pPr>
    </w:p>
    <w:p>
      <w:pPr>
        <w:jc w:val="both"/>
        <w:ind w:firstLine="523"/>
        <w:spacing w:after="0" w:line="267" w:lineRule="auto"/>
        <w:rPr>
          <w:sz w:val="20"/>
          <w:szCs w:val="20"/>
          <w:color w:val="auto"/>
        </w:rPr>
      </w:pPr>
      <w:r>
        <w:rPr>
          <w:rFonts w:ascii="Times New Roman" w:cs="Times New Roman" w:eastAsia="Times New Roman" w:hAnsi="Times New Roman"/>
          <w:sz w:val="16"/>
          <w:szCs w:val="16"/>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Rory Hussey, Director.</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Mr. Rory Hussey joined our board of directors on September 8, 2017 and serves on our conflicts committee, audit committee and our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Abel Rasterhoff, Director.</w:t>
      </w:r>
    </w:p>
    <w:p>
      <w:pPr>
        <w:spacing w:after="0" w:line="209" w:lineRule="exact"/>
        <w:rPr>
          <w:sz w:val="20"/>
          <w:szCs w:val="20"/>
          <w:color w:val="auto"/>
        </w:rPr>
      </w:pPr>
    </w:p>
    <w:p>
      <w:pPr>
        <w:jc w:val="both"/>
        <w:ind w:firstLine="523"/>
        <w:spacing w:after="0" w:line="265" w:lineRule="auto"/>
        <w:rPr>
          <w:sz w:val="20"/>
          <w:szCs w:val="20"/>
          <w:color w:val="auto"/>
        </w:rPr>
      </w:pPr>
      <w:r>
        <w:rPr>
          <w:rFonts w:ascii="Times New Roman" w:cs="Times New Roman" w:eastAsia="Times New Roman" w:hAnsi="Times New Roman"/>
          <w:sz w:val="16"/>
          <w:szCs w:val="16"/>
          <w:color w:val="auto"/>
        </w:rPr>
        <w:t>Mr. Rasterhoff joined our board of directors on April 3, 2007. He serves on our conflicts committee and our compensation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70"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599" w:gutter="0" w:footer="0" w:header="0"/>
        </w:sectPr>
      </w:pPr>
    </w:p>
    <w:bookmarkStart w:id="64" w:name="page65"/>
    <w:bookmarkEnd w:id="64"/>
    <w:p>
      <w:pPr>
        <w:ind w:left="540"/>
        <w:spacing w:after="0"/>
        <w:rPr>
          <w:sz w:val="20"/>
          <w:szCs w:val="20"/>
          <w:color w:val="auto"/>
        </w:rPr>
      </w:pPr>
      <w:r>
        <w:rPr>
          <w:rFonts w:ascii="Times New Roman" w:cs="Times New Roman" w:eastAsia="Times New Roman" w:hAnsi="Times New Roman"/>
          <w:sz w:val="17"/>
          <w:szCs w:val="17"/>
          <w:b w:val="1"/>
          <w:bCs w:val="1"/>
          <w:color w:val="auto"/>
        </w:rPr>
        <w:t>Eleni Tsoukala, Director.</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Ms. Tsoukala was appointed to our board of directors on February 28, 2018 and serves on our audit committee, conflicts committee and compensation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Dimitris P. Christacopoulos, Director.</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Mr. Christacopoulos joined our board of directors on September 30, 2011, following our merger with NYSE-listed Crude Carriers, where he had served as a director since 2010 and he currently serves on our conflicts committee, audit committee and our compensation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175" w:lineRule="exact"/>
        <w:rPr>
          <w:sz w:val="20"/>
          <w:szCs w:val="20"/>
          <w:color w:val="auto"/>
        </w:rPr>
      </w:pPr>
    </w:p>
    <w:p>
      <w:pPr>
        <w:ind w:left="1060" w:hanging="534"/>
        <w:spacing w:after="0"/>
        <w:tabs>
          <w:tab w:leader="none" w:pos="10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of Expenses of Our General Partner</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In 2022, these expenses for which our General Partner was reimbursed amounted to $0.1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The compensation of our General Partner’s Chief Executive Officer, Chief Financial Officer, and Chief Commercial Officer (appointed on January 24, 2022)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 For the year ended December 31, 2022 we paid our General Partner $2,050,003 as compensation for services related to the management of our business and affairs, including the appointment and performance of relevant duties of the chief executive officer, chief finance officer, and a number of additional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Our directors receive compensation for their services as directors, as well as for serving in the role of committee chair, and have also received restricted units, all of which have now vested. Please read “—E. Share Ownership—Omnibus Incentive Compensation Plan” below for additional information. For the year ended December 31, 2022, our directors, including our chairman, received an aggregate cash amount of $0.6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 Agreement</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Under separate service agreements entered into between our General Partner and its Chief Executive Officer, if a change in control affecting us occurs, each of our General Partner’s officers may resign within six months of such change in control. There are no service agreements between any of the directors and us.</w:t>
      </w:r>
    </w:p>
    <w:p>
      <w:pPr>
        <w:spacing w:after="0" w:line="154" w:lineRule="exact"/>
        <w:rPr>
          <w:sz w:val="20"/>
          <w:szCs w:val="20"/>
          <w:color w:val="auto"/>
        </w:rPr>
      </w:pPr>
    </w:p>
    <w:p>
      <w:pPr>
        <w:ind w:left="1060" w:hanging="534"/>
        <w:spacing w:after="0"/>
        <w:tabs>
          <w:tab w:leader="none" w:pos="106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Practices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65" w:name="page66"/>
    <w:bookmarkEnd w:id="65"/>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During the year ended December 31, 2022, our board of directors held 13 meetings. As part of our board meetings, our independent directors meet without the non-independent directors in attendance. In addition, the board regularly holds sessions without the CEO and executive officers present. During the year ended December 31, 2022 our independent directors held two executive sessions.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76"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is currently comprised of directors a majority of whom are independent and has established an audit committee, a conflicts committee and a compensation committee comprised solely of independent directors. Each of the committees operates under a written charter adopted by our board of directors which is available under “Corporate Governance” in the Investor Relations tab of our web site at www.capitalpplp.com. The information contained on, or that can be accessed through this website is not part of, and is not incorporated into, this Annual Report. The membership and main functions of each committee are described below.</w:t>
      </w:r>
    </w:p>
    <w:p>
      <w:pPr>
        <w:spacing w:after="0" w:line="176"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Audit Committee. The audit committee of our board of directors is composed of three or more independent directors, each of whom must meet the independence standards of the Nasdaq Global Select Market, the SEC and any other applicable laws and regulations governing independence from time to time. The audit committee is currently comprised of directors Dimitris Christacopoulos (Chair), Abel Rasterhoff, Rory Hussey, Keith Forman and Eleni Tsoukala.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five times during the year ended December 31, 2022, on January 24, January 31, April 27, July 26 and October 20.</w:t>
      </w:r>
    </w:p>
    <w:p>
      <w:pPr>
        <w:spacing w:after="0" w:line="178"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Conflicts Committee. The conflicts committee of our board of directors is composed of the same directors constituting the audit committee, being Keith Forman (chair), Abel Rasterhoff, Rory Hussey, Eleni Tsoukala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seven times during the year ended December 31, 2022.</w:t>
      </w:r>
    </w:p>
    <w:p>
      <w:pPr>
        <w:spacing w:after="0" w:line="178"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Compensation Committee. The compensation committee of our board of directors is composed of the same directors constituting the audit committee and conflicts committee, being Rory Hussey (chair), Keith Forman, Abel Rasterhoff, Eleni Tsoukala and Dimitris Christacopoulos. The compensation committee reviews compensation of the members of the board of directors and has overall responsibility for approving and evaluating our compensation plans, policies and programs, but not the compensation of the executive officers of the General Partner of the Partnership and related executive service agreements. The Compensation Committee did not meet during the year ended December 31, 2022.</w:t>
      </w:r>
    </w:p>
    <w:p>
      <w:pPr>
        <w:spacing w:after="0" w:line="172" w:lineRule="exact"/>
        <w:rPr>
          <w:sz w:val="20"/>
          <w:szCs w:val="20"/>
          <w:color w:val="auto"/>
        </w:rPr>
      </w:pPr>
    </w:p>
    <w:p>
      <w:pPr>
        <w:ind w:left="1060" w:hanging="534"/>
        <w:spacing w:after="0"/>
        <w:tabs>
          <w:tab w:leader="none" w:pos="106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Employees</w:t>
      </w:r>
    </w:p>
    <w:p>
      <w:pPr>
        <w:spacing w:after="0" w:line="209" w:lineRule="exact"/>
        <w:rPr>
          <w:sz w:val="20"/>
          <w:szCs w:val="20"/>
          <w:color w:val="auto"/>
        </w:rPr>
      </w:pPr>
    </w:p>
    <w:p>
      <w:pPr>
        <w:ind w:right="100" w:firstLine="523"/>
        <w:spacing w:after="0" w:line="272" w:lineRule="auto"/>
        <w:rPr>
          <w:sz w:val="20"/>
          <w:szCs w:val="20"/>
          <w:color w:val="auto"/>
        </w:rPr>
      </w:pPr>
      <w:r>
        <w:rPr>
          <w:rFonts w:ascii="Times New Roman" w:cs="Times New Roman" w:eastAsia="Times New Roman" w:hAnsi="Times New Roman"/>
          <w:sz w:val="17"/>
          <w:szCs w:val="17"/>
          <w:color w:val="auto"/>
        </w:rPr>
        <w:t>We currently do not have our own executive officers or employees and expect to rely on the officers of our General Partner to manage our day-to-day activities consistent with the policies and procedures adopted by our board of directors and on the employees of our Managers to operate our vessels.</w:t>
      </w:r>
    </w:p>
    <w:p>
      <w:pPr>
        <w:spacing w:after="0" w:line="158"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All of the executive officers of our General Partner and one of our directors also are executive officers, directors or employees of Capital Maritime, Capital Ship Management or their respective affiliates.</w:t>
      </w:r>
    </w:p>
    <w:p>
      <w:pPr>
        <w:spacing w:after="0" w:line="154" w:lineRule="exact"/>
        <w:rPr>
          <w:sz w:val="20"/>
          <w:szCs w:val="20"/>
          <w:color w:val="auto"/>
        </w:rPr>
      </w:pPr>
    </w:p>
    <w:p>
      <w:pPr>
        <w:ind w:left="1060" w:hanging="534"/>
        <w:spacing w:after="0"/>
        <w:tabs>
          <w:tab w:leader="none" w:pos="106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Ownership</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of December 31, 2022:</w:t>
      </w:r>
    </w:p>
    <w:p>
      <w:pPr>
        <w:spacing w:after="0" w:line="205" w:lineRule="exact"/>
        <w:rPr>
          <w:sz w:val="20"/>
          <w:szCs w:val="20"/>
          <w:color w:val="auto"/>
        </w:rPr>
      </w:pPr>
    </w:p>
    <w:p>
      <w:pPr>
        <w:ind w:left="1040" w:hanging="263"/>
        <w:spacing w:after="0"/>
        <w:tabs>
          <w:tab w:leader="none" w:pos="10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our board of directors, Keith Forman, has owned a small number of common units since the date of our IPO;</w:t>
      </w:r>
    </w:p>
    <w:p>
      <w:pPr>
        <w:spacing w:after="0" w:line="205" w:lineRule="exact"/>
        <w:rPr>
          <w:rFonts w:ascii="Times New Roman" w:cs="Times New Roman" w:eastAsia="Times New Roman" w:hAnsi="Times New Roman"/>
          <w:sz w:val="17"/>
          <w:szCs w:val="17"/>
          <w:color w:val="auto"/>
        </w:rPr>
      </w:pPr>
    </w:p>
    <w:p>
      <w:pPr>
        <w:ind w:left="1040" w:right="440" w:hanging="263"/>
        <w:spacing w:after="0" w:line="181" w:lineRule="auto"/>
        <w:tabs>
          <w:tab w:leader="none" w:pos="1040" w:val="left"/>
        </w:tabs>
        <w:numPr>
          <w:ilvl w:val="0"/>
          <w:numId w:val="7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a portion of shares issued to our director Dimitris Christacopoulos when he was a member of the board of directors of Crude Carriers converted to common units in us in the same manner as all shares converted under the terms of our merger agreement with Crude Carriers in 2011; and</w:t>
      </w:r>
    </w:p>
    <w:p>
      <w:pPr>
        <w:spacing w:after="0" w:line="209" w:lineRule="exact"/>
        <w:rPr>
          <w:rFonts w:ascii="Times New Roman" w:cs="Times New Roman" w:eastAsia="Times New Roman" w:hAnsi="Times New Roman"/>
          <w:sz w:val="32"/>
          <w:szCs w:val="32"/>
          <w:color w:val="auto"/>
          <w:vertAlign w:val="subscript"/>
        </w:rPr>
      </w:pPr>
    </w:p>
    <w:p>
      <w:pPr>
        <w:ind w:left="1040" w:hanging="263"/>
        <w:spacing w:after="0"/>
        <w:tabs>
          <w:tab w:leader="none" w:pos="10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our board of directors owns common or restricted units in a number representing more than 1.0% of our outstanding common units.</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Omnibus Incentive Compensation Plan</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our General Partner, our Managers,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our General Partner as authorized by our board of directors. The Plan was amended from time to time. See Note 13 (Omnibus Incentive Compensation Plan) to our Financial Statements.</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July 2019, the board of directors adopted an amended and restated Plan, so as to reserve for issuance a maximum number of 740,000 restricted common units. On the same day, the Partnership awarded 445,000 unvested units . Awards vested in three equal installments ending on December 31, 2021. All awards under the amended Plan are conditional upon the grantee’s continued service until the applicable vesting date.</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January 2022, the board of directors adopted an amended and restated Plan, so as to reserve for issuance a maximum number of 750,000 restricted common units. As of the date of this Annual Report the total number of restricted common units reserved was 1,045,000. On March 18, 2022, the Partnership awarded 743,800 unvested units . Awards granted to beneficiaries would vest in three equal installments. One third of the units awarded, namely 247,933 units vested on December 31, 2022. On December 30, 2022, the Partnership awarded another 1,969 unvested units, which were fully vested on December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Major Unitholders and Related-Party Transactions.</w:t>
      </w:r>
    </w:p>
    <w:p>
      <w:pPr>
        <w:spacing w:after="0" w:line="209" w:lineRule="exact"/>
        <w:rPr>
          <w:sz w:val="20"/>
          <w:szCs w:val="20"/>
          <w:color w:val="auto"/>
        </w:rPr>
      </w:pPr>
    </w:p>
    <w:p>
      <w:pPr>
        <w:jc w:val="both"/>
        <w:ind w:firstLine="523"/>
        <w:spacing w:after="0" w:line="304" w:lineRule="auto"/>
        <w:rPr>
          <w:sz w:val="20"/>
          <w:szCs w:val="20"/>
          <w:color w:val="auto"/>
        </w:rPr>
      </w:pPr>
      <w:r>
        <w:rPr>
          <w:rFonts w:ascii="Times New Roman" w:cs="Times New Roman" w:eastAsia="Times New Roman" w:hAnsi="Times New Roman"/>
          <w:sz w:val="16"/>
          <w:szCs w:val="16"/>
          <w:color w:val="auto"/>
        </w:rPr>
        <w:t>As of December 31, 2022, our partners’ capital consisted of 20,255,707 common units, of which 14,421,650 were beneficially owned by public unitholders, no subordinated units, 348,570 general partner units and 566,239 treasury units that the Partnership has purchased under the unit repurchase program currently in effect.</w:t>
      </w:r>
    </w:p>
    <w:p>
      <w:pPr>
        <w:spacing w:after="0" w:line="13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January 25, 2021, the Partnership’s Board of Directors approved a unit repurchase program, providing the Partnership with authorization to repurchase up to $30.0 million of units of the Partnership’s common units, effective for a period of two years through January 2023.</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January 26, 2023, the Board approved a new unit repurchase program, providing the Partnership with authorization to repurchase up to $30.0 million of the Partnership’s common units, effective for a period of two years through January 2025.</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April 25, 2023, the Partnership had purchased 947,932 common units under the program.</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Please see “Item 16 – E. Purchases of Equity Securities by the Issuer and Affiliated Purchasers.”</w:t>
      </w:r>
    </w:p>
    <w:p>
      <w:pPr>
        <w:spacing w:after="0" w:line="205"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Based on 20,449,169 units issued and outstanding (excluding treasury units of 721,347 and including 348,570 general partner units) on April 17, 2023, the Marinakis family, including Evangelos M. Marinakis, the chairman of (i) Capital Maritime, may be deemed to beneficially own a 30.2% interest in us, through Capital Maritime, which may be deemed to beneficially own 4,680,211 common units representing a 22.9% interest in us, (ii) Capital Gas Corp., which may be deemed to beneficially own 1,153,846 common units representing a 5.6% interest in us and (iii) our General Partner, which may be deemed to beneficially own 348,570 general partner units representing a 1.7% interest in us.</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As of April 11, 2023, there were two holders of record of our common units, which have a U.S. mailing address. One of these two holders is CEDE &amp; Co., a nominee company for The Depository Trust Company (a registered clearing agency with the SEC), which held approximately 80.9% of our outstanding common units as of such date. The beneficial owners of the common units held by CEDE &amp; Co. may include persons who reside outside the United States.</w:t>
      </w:r>
    </w:p>
    <w:p>
      <w:pPr>
        <w:spacing w:after="0" w:line="165" w:lineRule="exact"/>
        <w:rPr>
          <w:sz w:val="20"/>
          <w:szCs w:val="20"/>
          <w:color w:val="auto"/>
        </w:rPr>
      </w:pPr>
    </w:p>
    <w:p>
      <w:pPr>
        <w:ind w:left="1060" w:hanging="534"/>
        <w:spacing w:after="0"/>
        <w:tabs>
          <w:tab w:leader="none" w:pos="106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Major Unitholders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following table sets forth as of April 17, 2023 the beneficial ownership of our common units by each person we know beneficially owns more than 5.0% or more of our common units, and all of our directors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Percentage of</w:t>
            </w:r>
          </w:p>
        </w:tc>
      </w:tr>
      <w:tr>
        <w:trPr>
          <w:trHeight w:val="200"/>
        </w:trPr>
        <w:tc>
          <w:tcPr>
            <w:tcW w:w="8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Total Common</w:t>
            </w:r>
          </w:p>
        </w:tc>
      </w:tr>
      <w:tr>
        <w:trPr>
          <w:trHeight w:val="200"/>
        </w:trPr>
        <w:tc>
          <w:tcPr>
            <w:tcW w:w="8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Units</w:t>
            </w:r>
          </w:p>
        </w:tc>
      </w:tr>
      <w:tr>
        <w:trPr>
          <w:trHeight w:val="200"/>
        </w:trPr>
        <w:tc>
          <w:tcPr>
            <w:tcW w:w="89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(excluding</w:t>
            </w:r>
          </w:p>
        </w:tc>
      </w:tr>
      <w:tr>
        <w:trPr>
          <w:trHeight w:val="200"/>
        </w:trPr>
        <w:tc>
          <w:tcPr>
            <w:tcW w:w="89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treasury units</w:t>
            </w:r>
          </w:p>
        </w:tc>
      </w:tr>
      <w:tr>
        <w:trPr>
          <w:trHeight w:val="221"/>
        </w:trPr>
        <w:tc>
          <w:tcPr>
            <w:tcW w:w="8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Units Owned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of 721,347)</w:t>
            </w:r>
          </w:p>
        </w:tc>
      </w:tr>
      <w:tr>
        <w:trPr>
          <w:trHeight w:val="218"/>
        </w:trPr>
        <w:tc>
          <w:tcPr>
            <w:tcW w:w="890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Capital Maritime </w:t>
            </w:r>
            <w:r>
              <w:rPr>
                <w:rFonts w:ascii="Times New Roman" w:cs="Times New Roman" w:eastAsia="Times New Roman" w:hAnsi="Times New Roman"/>
                <w:sz w:val="25"/>
                <w:szCs w:val="25"/>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4,680,211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38"/>
        </w:trPr>
        <w:tc>
          <w:tcPr>
            <w:tcW w:w="890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 xml:space="preserve">Capital Gas Corp. </w:t>
            </w:r>
            <w:r>
              <w:rPr>
                <w:rFonts w:ascii="Times New Roman" w:cs="Times New Roman" w:eastAsia="Times New Roman" w:hAnsi="Times New Roman"/>
                <w:sz w:val="27"/>
                <w:szCs w:val="27"/>
                <w:color w:val="auto"/>
                <w:vertAlign w:val="superscript"/>
              </w:rPr>
              <w:t>(2)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1,153,846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8"/>
        </w:trPr>
        <w:tc>
          <w:tcPr>
            <w:tcW w:w="89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 xml:space="preserve">Donald Smith &amp; Co., Inc. </w:t>
            </w:r>
            <w:r>
              <w:rPr>
                <w:rFonts w:ascii="Times New Roman" w:cs="Times New Roman" w:eastAsia="Times New Roman" w:hAnsi="Times New Roman"/>
                <w:sz w:val="27"/>
                <w:szCs w:val="27"/>
                <w:color w:val="auto"/>
                <w:vertAlign w:val="superscript"/>
              </w:rPr>
              <w:t>(3)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1,630,946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00"/>
        </w:trPr>
        <w:tc>
          <w:tcPr>
            <w:tcW w:w="8900" w:type="dxa"/>
            <w:vAlign w:val="bottom"/>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89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 xml:space="preserve">(seven persons) </w:t>
            </w:r>
            <w:r>
              <w:rPr>
                <w:rFonts w:ascii="Times New Roman" w:cs="Times New Roman" w:eastAsia="Times New Roman" w:hAnsi="Times New Roman"/>
                <w:sz w:val="27"/>
                <w:szCs w:val="27"/>
                <w:color w:val="auto"/>
                <w:vertAlign w:val="superscript"/>
              </w:rPr>
              <w:t>(4)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84" w:lineRule="exact"/>
        <w:rPr>
          <w:sz w:val="20"/>
          <w:szCs w:val="20"/>
          <w:color w:val="auto"/>
        </w:rPr>
      </w:pPr>
    </w:p>
    <w:p>
      <w:pPr>
        <w:ind w:left="380" w:right="180" w:hanging="380"/>
        <w:spacing w:after="0" w:line="272" w:lineRule="auto"/>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Marinakis family, including Evangelos M. Marinakis, our former chairman, through its ownership of Capital Maritime may be deemed to beneficially own, or to have beneficially owned, all of our units held by Capital Maritime.</w:t>
      </w:r>
    </w:p>
    <w:p>
      <w:pPr>
        <w:spacing w:after="0" w:line="158" w:lineRule="exact"/>
        <w:rPr>
          <w:rFonts w:ascii="Times New Roman" w:cs="Times New Roman" w:eastAsia="Times New Roman" w:hAnsi="Times New Roman"/>
          <w:sz w:val="17"/>
          <w:szCs w:val="17"/>
          <w:color w:val="auto"/>
        </w:rPr>
      </w:pPr>
    </w:p>
    <w:p>
      <w:pPr>
        <w:ind w:left="380" w:right="200" w:hanging="380"/>
        <w:spacing w:after="0" w:line="272" w:lineRule="auto"/>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Marinakis family, including Miltiadis E. Marinakis, through its ownership of the 100% of Capital Gas Corp., may be deemed to beneficially own all of our units held by Capital Gas Corp.</w:t>
      </w:r>
    </w:p>
    <w:p>
      <w:pPr>
        <w:spacing w:after="0" w:line="158" w:lineRule="exact"/>
        <w:rPr>
          <w:rFonts w:ascii="Times New Roman" w:cs="Times New Roman" w:eastAsia="Times New Roman" w:hAnsi="Times New Roman"/>
          <w:sz w:val="17"/>
          <w:szCs w:val="17"/>
          <w:color w:val="auto"/>
        </w:rPr>
      </w:pPr>
    </w:p>
    <w:p>
      <w:pPr>
        <w:jc w:val="both"/>
        <w:ind w:left="380" w:hanging="380"/>
        <w:spacing w:after="0" w:line="249" w:lineRule="auto"/>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Schedule 13G filed on February 9, 2023 by (i) Donald Smith &amp; Co., Inc., a Delaware corporation (“DSCI”) and (ii) DSCO Value Fund, L.P., a Delaware limited partnership. According to the Schedule 13G, DSCI is an investment adviser, and the address of its principal office is 152 W 57th Street, New York NY 10019. According to the Schedule 13G, the ultimate power to direct the receipt of dividends paid with respect to, and the proceeds from the sale of, common units, is vested in the institutional clients for which DSCI serves as investment advisor. DSCI does not serve as custodian of the assets of any of its clients and accordingly, in each instance only the client or the client’s custodian or trustee bank has the right to receive dividends paid with respect to, and proceeds from the sale of, common units. According to the Schedule 13G/A, to the knowledge of DSCI, with respect to the common units reported in the Schedule 13G/A owned by advisory client of DSCI, not more than 5% of the common units is owned by any one client. With respect to the remaining common units owned, various persons have the right to receive or the power to direct the receipt of dividends from, or the proceeds from the sale of, the common units. No one person’s interest in the common units is more than 5% of the total outstanding common units.</w:t>
      </w:r>
    </w:p>
    <w:p>
      <w:pPr>
        <w:spacing w:after="0" w:line="178" w:lineRule="exact"/>
        <w:rPr>
          <w:rFonts w:ascii="Times New Roman" w:cs="Times New Roman" w:eastAsia="Times New Roman" w:hAnsi="Times New Roman"/>
          <w:sz w:val="17"/>
          <w:szCs w:val="17"/>
          <w:color w:val="auto"/>
        </w:rPr>
      </w:pPr>
    </w:p>
    <w:p>
      <w:pPr>
        <w:ind w:left="380" w:hanging="380"/>
        <w:spacing w:after="0"/>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“Item 6. Directors, Senior Management and Employees—E. Share Ownership” above.</w:t>
      </w:r>
    </w:p>
    <w:p>
      <w:pPr>
        <w:sectPr>
          <w:pgSz w:w="11900" w:h="16838" w:orient="portrait"/>
          <w:cols w:equalWidth="0" w:num="1">
            <w:col w:w="11240"/>
          </w:cols>
          <w:pgMar w:left="320" w:top="545" w:right="339" w:bottom="0" w:gutter="0" w:footer="0" w:header="0"/>
        </w:sectPr>
      </w:pPr>
    </w:p>
    <w:bookmarkStart w:id="67" w:name="page68"/>
    <w:bookmarkEnd w:id="67"/>
    <w:p>
      <w:pPr>
        <w:ind w:left="4420"/>
        <w:spacing w:after="0"/>
        <w:tabs>
          <w:tab w:leader="none" w:pos="8880"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20955</wp:posOffset>
            </wp:positionV>
            <wp:extent cx="71424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0080"/>
          </w:cols>
          <w:pgMar w:left="1440" w:top="424" w:right="379" w:bottom="1440" w:gutter="0" w:footer="0" w:header="0"/>
        </w:sectPr>
      </w:pPr>
    </w:p>
    <w:bookmarkStart w:id="68" w:name="page69"/>
    <w:bookmarkEnd w:id="68"/>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Our major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174" w:lineRule="exact"/>
        <w:rPr>
          <w:sz w:val="20"/>
          <w:szCs w:val="20"/>
          <w:color w:val="auto"/>
        </w:rPr>
      </w:pPr>
    </w:p>
    <w:p>
      <w:pPr>
        <w:ind w:left="1060" w:hanging="534"/>
        <w:spacing w:after="0"/>
        <w:tabs>
          <w:tab w:leader="none" w:pos="106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Related-Party Transactions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General Partner, which is a private entity wholly owned by Mr. Miltiadis E. Marinakis, controls the appointment of up to three of the members of our board of directors. Capital Maritime and Capital Gas Corp. can vote the common units they hold in their totality on all matters that arise under the partnership agreement (except for the election of directors elected by holders of our common units). Accordingly, our General Partner, Capital Maritime and Capital Gas Corp. have the ability to exercise significant influence on important actions we may take.</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Administrative and executive services agreements with Capital Ship Management and our General Partner</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On April 4, 2007, we entered into an administrative services agreement with Capital Ship Management, pursuant to which Capital Ship Management has agreed to provide certain administrative management services to the Partnership, such as accounting, auditing, legal, insurance, clerical, and other administrative services. On the same date, we entered into an IT services agreement with Capital Ship Management pursuant to which our Manager provides IT management services to CPLP. We also reimburse Capital Ship Management and our General Partner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2022, we amended the executive services agreement with our General Partner according to which our General Partner provides certain executive officers services for the management of the Partnership’s business as well as investor relations and corporate support services to the Partnership, for a fee of $2.4 million per annum.</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 2018, Capital Ship Management conducted a management buy-out led by its senior management. Since then, Capital Ship Management is no longer part of the group of companies controlled by Capital Maritime.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See Note 4 (Transactions with Related Parties) to our Financial Statements for additional information on fees pays under our management agreements.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Transactions entered into during the year ended December 31, 2022 and up to the date of this Annual Report</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Master Vessel Acquisition Agreement (the “MVAA”)</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June 6, 2022, CPLP agreed to exercise its right of first offer and entered into a Master Vessel Acquisition Agreement with Capital Maritime to acquire one 174,000 CBM latest generation X-DF LNG/C and three 13,312 TEU hybrid scrubber-fitted Tier III and Phase III, dual fuel ready eco container sister vessels for total consideration of $596.6 million.</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Share Purchase Agreements with Capital Maritime for the Acquisition of the M/V Manzanillo Express, the M/V Itajai Express and the LNG/C Asterix I</w:t>
      </w:r>
    </w:p>
    <w:p>
      <w:pPr>
        <w:spacing w:after="0" w:line="209" w:lineRule="exact"/>
        <w:rPr>
          <w:sz w:val="20"/>
          <w:szCs w:val="20"/>
          <w:color w:val="auto"/>
        </w:rPr>
      </w:pPr>
    </w:p>
    <w:p>
      <w:pPr>
        <w:jc w:val="both"/>
        <w:ind w:firstLine="523"/>
        <w:spacing w:after="0" w:line="304" w:lineRule="auto"/>
        <w:rPr>
          <w:sz w:val="20"/>
          <w:szCs w:val="20"/>
          <w:color w:val="auto"/>
        </w:rPr>
      </w:pPr>
      <w:r>
        <w:rPr>
          <w:rFonts w:ascii="Times New Roman" w:cs="Times New Roman" w:eastAsia="Times New Roman" w:hAnsi="Times New Roman"/>
          <w:sz w:val="16"/>
          <w:szCs w:val="16"/>
          <w:color w:val="auto"/>
        </w:rPr>
        <w:t>On October 12, 2022, CPLP acquired the shares of the company owning the M/V Manzanillo Express for total consideration of $121.6 million comprised of (i) a cash deposit of $6.0 million advanced in June 2022, (ii) $6.6 million in common units of CPLP, (iii) $105.0 million of debt and (iv) $4.0 million of cash at hand.</w:t>
      </w:r>
    </w:p>
    <w:p>
      <w:pPr>
        <w:spacing w:after="0" w:line="13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January 10, 2023, CPLP acquired the shares of the company owning the M/V Itajai Express for total consideration of $122.5 million comprised of (i) a cash deposit of $6.0 million advanced in June 2022, (ii) $108.0 million of debt and (iii) $8.5 million of cash at hand.</w:t>
      </w:r>
    </w:p>
    <w:p>
      <w:pPr>
        <w:spacing w:after="0" w:line="15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February 17, 2023, CPLP acquired the shares of the company owning the LNG/C Asterix I for total consideration of $230.0 million comprised of (i) a cash deposit of $12.0 million advanced in June 2022, (ii) $184.0 million of debt and (iii) $34.0 million of cash at hand.</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ind w:left="540"/>
        <w:spacing w:after="0"/>
        <w:rPr>
          <w:sz w:val="20"/>
          <w:szCs w:val="20"/>
          <w:color w:val="auto"/>
        </w:rPr>
      </w:pPr>
      <w:r>
        <w:rPr>
          <w:rFonts w:ascii="Times New Roman" w:cs="Times New Roman" w:eastAsia="Times New Roman" w:hAnsi="Times New Roman"/>
          <w:sz w:val="17"/>
          <w:szCs w:val="17"/>
          <w:i w:val="1"/>
          <w:iCs w:val="1"/>
          <w:color w:val="auto"/>
        </w:rPr>
        <w:t>Floating Rate Management Agreements with Capital-Executive</w:t>
      </w:r>
    </w:p>
    <w:p>
      <w:pPr>
        <w:spacing w:after="0" w:line="209" w:lineRule="exact"/>
        <w:rPr>
          <w:sz w:val="20"/>
          <w:szCs w:val="20"/>
          <w:color w:val="auto"/>
        </w:rPr>
      </w:pPr>
    </w:p>
    <w:p>
      <w:pPr>
        <w:jc w:val="both"/>
        <w:ind w:firstLine="534"/>
        <w:spacing w:after="0" w:line="272" w:lineRule="auto"/>
        <w:rPr>
          <w:sz w:val="20"/>
          <w:szCs w:val="20"/>
          <w:color w:val="auto"/>
        </w:rPr>
      </w:pPr>
      <w:r>
        <w:rPr>
          <w:rFonts w:ascii="Times New Roman" w:cs="Times New Roman" w:eastAsia="Times New Roman" w:hAnsi="Times New Roman"/>
          <w:sz w:val="17"/>
          <w:szCs w:val="17"/>
          <w:color w:val="auto"/>
        </w:rPr>
        <w:t>In October 2022 and January 2023, the vessel-owning subsidiaries of the M/V Manzanillo Express and the M/V Itajai Express entered into a floating rate management agreements with Capital-Executive, pursuant to which Capital-Executive provides certain commercial and technical management services.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Floating Rate Management Agreements with Capital Gas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In February 2023 the vessel-owning subsidiary of the LNG/C Asterix I entered into a floating rate management agreement with Capital Gas, pursuant to which Capital Gas provides certain commercial and technical management services.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Transactions entered into during the year ended December 31, 2021</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Share Purchase Agreements with CGC Operating for the Acquisition of the Companies Owning Six LNG Carriers and the CGC Seller’s Credit</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On August 31, 2021, CPLP agreed to acquire the shares of the companies owning three 174,000 CBM latest generation X-DF LNG carriers from CGC Operating for total consideration of $599.8 million comprised of (i) $147.1 million of cash on hand, (ii) the assumption of the $427.4 million of secured debt, (iii) the issuance of 1,153,846 (or $15.3 million in value) of new common units of CPLP at a premium to the trading unit price at the time of the agreement and (iv) the CGC Seller’s Credit, which is $10.0 million of unsecured, interest free seller’s credit. The three vessels are the LNG/C Aristos I, the LNG/C Aristarchos and the LNG/C Aristidis I.</w:t>
      </w:r>
    </w:p>
    <w:p>
      <w:pPr>
        <w:spacing w:after="0" w:line="176"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connection with the acquisition of the LNG/C Aristos I and the LNG/C Aristarchos, the Partnership entered into the CGC Seller’s Credit, which is a seller’s credit agreement with CGC Operating to defer $10.0 million of the purchase price for up to twelve months from the delivery of the vessels. The CGC Seller’s Credit is unsecured and interest free. For a discussion of the financing of this acquisition, see “Item 4. Information on the Partnership—A. History and Development of the Partnership—2021 Developments.”</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Furthermore, on August 31, 2021, the Partnership secured an option, which was exercised on November 4, 2021, to acquire the shares of the companies owning an additional three X-DF LNG sister vessels for total consideration of $623.0 million comprised of (i) 184.0 million of cash on hand and (ii) the assumption of the $439.0 million of secured debt. The three vessels are the LNG/C Attalos, the LNG/C Asklipios and the LNG/C Adamastos.</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On March 30, 2022, CGC Operating transferred all 1,153,846 common units held by it to Capital Gas Corp. for no consideration. Mr. Miltiadis M. Marinakis beneficially owns 50% of CGC Operating and the remaining 50% of CGC Operating is beneficially owned by a U.S.-based financial sponsor. In connection with the transfer of common units from CGC Operating to Capital Gas Corp., Capital Gas Corp. paid $9,029,877.39 to the U.S.-based financial sponsor in exchange for its interest in the common units held by CGC Operating. Mr. Miltiadis E. Marinakis beneficially owns of 100% of Capital Gas Corp.</w:t>
      </w:r>
    </w:p>
    <w:p>
      <w:pPr>
        <w:spacing w:after="0" w:line="170" w:lineRule="exact"/>
        <w:rPr>
          <w:sz w:val="20"/>
          <w:szCs w:val="20"/>
          <w:color w:val="auto"/>
        </w:rPr>
      </w:pPr>
    </w:p>
    <w:p>
      <w:pPr>
        <w:jc w:val="both"/>
        <w:ind w:firstLine="559"/>
        <w:spacing w:after="0" w:line="277" w:lineRule="auto"/>
        <w:rPr>
          <w:sz w:val="20"/>
          <w:szCs w:val="20"/>
          <w:color w:val="auto"/>
        </w:rPr>
      </w:pPr>
      <w:r>
        <w:rPr>
          <w:rFonts w:ascii="Times New Roman" w:cs="Times New Roman" w:eastAsia="Times New Roman" w:hAnsi="Times New Roman"/>
          <w:sz w:val="17"/>
          <w:szCs w:val="17"/>
          <w:i w:val="1"/>
          <w:iCs w:val="1"/>
          <w:color w:val="auto"/>
        </w:rPr>
        <w:t>Share Purchase Agreements for the Acquisition of the Companies Owning M/V Long Beach Express, M/V Seattle Express and the M/V Fos Express and the CMTC Seller’s Credit</w:t>
      </w:r>
    </w:p>
    <w:p>
      <w:pPr>
        <w:spacing w:after="0" w:line="15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On January 27, 2021, we entered into three separate share purchase agreements with Capital Maritime for the acquisition of the shares of the companies owning the M/V Long Beach Express, M/V Seattle Express and the M/V Fos Express (three sister 5,100 TEU container vessels built in 2008 at Hanjin Heavy Industries, South Korea), for consideration of $13.5 million each. The vessels were delivered to the Partnership on February 25, 2021.</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connection with this acquisition, the Partnership entered into a seller’s credit agreement with Capital Maritime to defer $6.0 million of the purchase price for up to five years from the delivery of the vessels. The CMTC Sellers’ Credit bears interest at a fixed rate of 5.0% per year. For a discussion of the financing of this acquisition, see “Item 4. Information on the Partnership—A. History and Development of the Partnership—2021 Developments.”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Floating Rate Management Agreements with Capital Gas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its acquisition date in 2021, each vessel-owning subsidiary of our six LNC/C vessels entered into a floating rate management agreement with Capital Gas, pursuant to which Capital Gas provides certain commercial and technical management services.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Floating Rate Management Agreement with Capital-Executive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February 2021, each vessel-owning subsidiary of M/V Long Beach Express, M/V Seattle Express and the M/V Fos Express, entered into a floating rate management agreement with Capital-Executive, pursuant to which Capital-Executive provides certain commercial and technical management services.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Transactions entered into during the year ended December 31, 2020</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Share purchase Agreements for the acquisition of M/V Athenian, the M/V Athos and M/V Aristomenis.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January 22, 2020, we entered into three separate share purchase agreements with Capital Maritime for the Acquisition of the Companies owning the M/V Athenian, the M/V Athos and M/V Aristomenis for consideration of $54.2 million each.</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7"/>
          <w:szCs w:val="17"/>
          <w:i w:val="1"/>
          <w:iCs w:val="1"/>
          <w:color w:val="auto"/>
        </w:rPr>
        <w:t>Change of Management Agreement for M/V Cape Agamemnon.</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On November 30, 2020 the M/V Cape Agamemnon, the last vessel to which Capital Ship Management provided technical management services entered into a technical management agreement with Capital-Executive with the same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CONFLICTS OF INTEREST AND FIDUCIARY DUTIES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Conflicts of interest exist and may arise in the future as a result of the relationships between our General Partner and Capital Maritime, on the one hand, and us and our unaffiliated limited partners, on the other hand. The officers of our General Partner may have certain fiduciary duties to manage our General Partner in a manner beneficial to its owner.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176"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78"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Neither our General Partner nor our board of directors will be in breach of their obligations under the partnership agreement or their duties to us or the unitholders if the resolution of the conflict is:</w:t>
      </w:r>
    </w:p>
    <w:p>
      <w:pPr>
        <w:spacing w:after="0" w:line="158" w:lineRule="exact"/>
        <w:rPr>
          <w:sz w:val="20"/>
          <w:szCs w:val="20"/>
          <w:color w:val="auto"/>
        </w:rPr>
      </w:pPr>
    </w:p>
    <w:p>
      <w:pPr>
        <w:ind w:left="1040" w:hanging="263"/>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by the conflicts committee, although neither our General Partner nor our board of directors are obligated to seek such approval;</w:t>
      </w:r>
    </w:p>
    <w:p>
      <w:pPr>
        <w:spacing w:after="0" w:line="205" w:lineRule="exact"/>
        <w:rPr>
          <w:rFonts w:ascii="Times New Roman" w:cs="Times New Roman" w:eastAsia="Times New Roman" w:hAnsi="Times New Roman"/>
          <w:sz w:val="17"/>
          <w:szCs w:val="17"/>
          <w:color w:val="auto"/>
        </w:rPr>
      </w:pPr>
    </w:p>
    <w:p>
      <w:pPr>
        <w:ind w:left="1040" w:right="80" w:hanging="263"/>
        <w:spacing w:after="0" w:line="181" w:lineRule="auto"/>
        <w:tabs>
          <w:tab w:leader="none" w:pos="1040" w:val="left"/>
        </w:tabs>
        <w:numPr>
          <w:ilvl w:val="0"/>
          <w:numId w:val="7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184" w:lineRule="exact"/>
        <w:rPr>
          <w:rFonts w:ascii="Times New Roman" w:cs="Times New Roman" w:eastAsia="Times New Roman" w:hAnsi="Times New Roman"/>
          <w:sz w:val="32"/>
          <w:szCs w:val="32"/>
          <w:color w:val="auto"/>
          <w:vertAlign w:val="subscript"/>
        </w:rPr>
      </w:pPr>
    </w:p>
    <w:p>
      <w:pPr>
        <w:ind w:left="1040" w:right="100" w:hanging="263"/>
        <w:spacing w:after="0" w:line="181" w:lineRule="auto"/>
        <w:tabs>
          <w:tab w:leader="none" w:pos="1040" w:val="left"/>
        </w:tabs>
        <w:numPr>
          <w:ilvl w:val="0"/>
          <w:numId w:val="7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184" w:lineRule="exact"/>
        <w:rPr>
          <w:rFonts w:ascii="Times New Roman" w:cs="Times New Roman" w:eastAsia="Times New Roman" w:hAnsi="Times New Roman"/>
          <w:sz w:val="32"/>
          <w:szCs w:val="32"/>
          <w:color w:val="auto"/>
          <w:vertAlign w:val="subscript"/>
        </w:rPr>
      </w:pPr>
    </w:p>
    <w:p>
      <w:pPr>
        <w:ind w:left="1040" w:right="400" w:hanging="263"/>
        <w:spacing w:after="0" w:line="181" w:lineRule="auto"/>
        <w:tabs>
          <w:tab w:leader="none" w:pos="1040" w:val="left"/>
        </w:tabs>
        <w:numPr>
          <w:ilvl w:val="0"/>
          <w:numId w:val="7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fair and reasonable to us, taking into account the totality of the relationships between the parties involved, including other transactions that may be particularly favorable or advantageous to us.</w:t>
      </w:r>
    </w:p>
    <w:p>
      <w:pPr>
        <w:spacing w:after="0" w:line="185"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Conflicts of interest could arise in the situations described below, among others.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Actions taken by our board of directors may affect the amount of cash available for distribution to unitholders.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amount of cash that is available for distribution to unitholders is affected by decisions of our board of directors regarding such matters as:</w:t>
      </w:r>
    </w:p>
    <w:p>
      <w:pPr>
        <w:spacing w:after="0" w:line="205" w:lineRule="exact"/>
        <w:rPr>
          <w:sz w:val="20"/>
          <w:szCs w:val="20"/>
          <w:color w:val="auto"/>
        </w:rPr>
      </w:pPr>
    </w:p>
    <w:p>
      <w:pPr>
        <w:ind w:left="1040" w:hanging="263"/>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asset purchases and sales;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expenditures;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additional units;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creation, reduction or increase of reserves in any quarter.</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1" w:name="page72"/>
    <w:bookmarkEnd w:id="71"/>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 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partnership agreement provides that we and our subsidiaries may borrow funds from our General Partner and its affiliates. Our General Partner and its affiliates may not borrow funds from us or our subsidiaries.</w:t>
      </w:r>
    </w:p>
    <w:p>
      <w:pPr>
        <w:spacing w:after="0" w:line="154" w:lineRule="exact"/>
        <w:rPr>
          <w:sz w:val="20"/>
          <w:szCs w:val="20"/>
          <w:color w:val="auto"/>
        </w:rPr>
      </w:pPr>
    </w:p>
    <w:p>
      <w:pPr>
        <w:ind w:left="540" w:right="100"/>
        <w:spacing w:after="0" w:line="277" w:lineRule="auto"/>
        <w:rPr>
          <w:sz w:val="20"/>
          <w:szCs w:val="20"/>
          <w:color w:val="auto"/>
        </w:rPr>
      </w:pPr>
      <w:r>
        <w:rPr>
          <w:rFonts w:ascii="Times New Roman" w:cs="Times New Roman" w:eastAsia="Times New Roman" w:hAnsi="Times New Roman"/>
          <w:sz w:val="17"/>
          <w:szCs w:val="17"/>
          <w:b w:val="1"/>
          <w:bCs w:val="1"/>
          <w:color w:val="auto"/>
        </w:rPr>
        <w:t>Neither our partnership agreement nor any other agreement requires our General Partner or its affiliates to pursue a business strategy that favors us or utilizes our assets or dictates what markets to pursue or grow.</w:t>
      </w:r>
    </w:p>
    <w:p>
      <w:pPr>
        <w:spacing w:after="0" w:line="15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Our General Partner is allowed to take into account the interests of parties other than us.</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We do not have any officers and rely solely on officers of our General Partner.</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General Partner’s Chief Executive Officer, Chief Financial Officer and Chief Commercial Officer are also executive officers or employees of Capital Maritime, Capital Ship Management or their respective affiliates.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If the activities of Capital Maritime, Capital Ship Management or their respective affiliates are significantly greater than our activities, there could be material competition for the time and effort of the officers who provide services to our General Partner. The officers of our General Partner are not required to work full-time on our affairs.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We will reimburse our General Partner and its affiliates for expenses.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Common unitholders will have no right to enforce obligations of our General Partner and its affiliates under agreements with us.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154" w:lineRule="exact"/>
        <w:rPr>
          <w:sz w:val="20"/>
          <w:szCs w:val="20"/>
          <w:color w:val="auto"/>
        </w:rPr>
      </w:pPr>
    </w:p>
    <w:p>
      <w:pPr>
        <w:ind w:left="540" w:right="560"/>
        <w:spacing w:after="0" w:line="277" w:lineRule="auto"/>
        <w:rPr>
          <w:sz w:val="20"/>
          <w:szCs w:val="20"/>
          <w:color w:val="auto"/>
        </w:rPr>
      </w:pPr>
      <w:r>
        <w:rPr>
          <w:rFonts w:ascii="Times New Roman" w:cs="Times New Roman" w:eastAsia="Times New Roman" w:hAnsi="Times New Roman"/>
          <w:sz w:val="17"/>
          <w:szCs w:val="17"/>
          <w:b w:val="1"/>
          <w:bCs w:val="1"/>
          <w:color w:val="auto"/>
        </w:rPr>
        <w:t>Contracts between us, on the one hand, and Capital Maritime or our General Partner, on the other hand, will not be the result of arms’- length negotiations.</w:t>
      </w:r>
    </w:p>
    <w:p>
      <w:pPr>
        <w:spacing w:after="0" w:line="154" w:lineRule="exact"/>
        <w:rPr>
          <w:sz w:val="20"/>
          <w:szCs w:val="20"/>
          <w:color w:val="auto"/>
        </w:rPr>
      </w:pPr>
    </w:p>
    <w:p>
      <w:pPr>
        <w:ind w:right="280" w:firstLine="523"/>
        <w:spacing w:after="0" w:line="272" w:lineRule="auto"/>
        <w:rPr>
          <w:sz w:val="20"/>
          <w:szCs w:val="20"/>
          <w:color w:val="auto"/>
        </w:rPr>
      </w:pPr>
      <w:r>
        <w:rPr>
          <w:rFonts w:ascii="Times New Roman" w:cs="Times New Roman" w:eastAsia="Times New Roman" w:hAnsi="Times New Roman"/>
          <w:sz w:val="17"/>
          <w:szCs w:val="17"/>
          <w:color w:val="auto"/>
        </w:rPr>
        <w:t>Neither our partnership agreement nor any of the other agreements, contracts and arrangements initially put in place among Capital Maritime or our General Partner and us were the result of arms’-length negotiations.</w:t>
      </w:r>
    </w:p>
    <w:p>
      <w:pPr>
        <w:spacing w:after="0" w:line="158" w:lineRule="exact"/>
        <w:rPr>
          <w:sz w:val="20"/>
          <w:szCs w:val="20"/>
          <w:color w:val="auto"/>
        </w:rPr>
      </w:pPr>
    </w:p>
    <w:p>
      <w:pPr>
        <w:ind w:right="40" w:firstLine="523"/>
        <w:spacing w:after="0" w:line="272" w:lineRule="auto"/>
        <w:rPr>
          <w:sz w:val="20"/>
          <w:szCs w:val="20"/>
          <w:color w:val="auto"/>
        </w:rPr>
      </w:pPr>
      <w:r>
        <w:rPr>
          <w:rFonts w:ascii="Times New Roman" w:cs="Times New Roman" w:eastAsia="Times New Roman" w:hAnsi="Times New Roman"/>
          <w:sz w:val="17"/>
          <w:szCs w:val="17"/>
          <w:color w:val="auto"/>
        </w:rPr>
        <w:t>Our partnership agreement generally provides that any affiliated transaction, such as an agreement, contract or arrangement between us and our General Partner and its affiliates, must be:</w:t>
      </w:r>
    </w:p>
    <w:p>
      <w:pPr>
        <w:spacing w:after="0" w:line="158" w:lineRule="exact"/>
        <w:rPr>
          <w:sz w:val="20"/>
          <w:szCs w:val="20"/>
          <w:color w:val="auto"/>
        </w:rPr>
      </w:pPr>
    </w:p>
    <w:p>
      <w:pPr>
        <w:ind w:left="1040" w:hanging="263"/>
        <w:spacing w:after="0"/>
        <w:tabs>
          <w:tab w:leader="none" w:pos="10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by a majority of the members of our conflicts committee;</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by the vote of a majority of the common units (excluding common units owned by the General Partner and its affiliates);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terms no less favorable to us than those generally being provided to or available from unrelated third parties; or</w:t>
      </w:r>
    </w:p>
    <w:p>
      <w:pPr>
        <w:spacing w:after="0" w:line="205" w:lineRule="exact"/>
        <w:rPr>
          <w:rFonts w:ascii="Times New Roman" w:cs="Times New Roman" w:eastAsia="Times New Roman" w:hAnsi="Times New Roman"/>
          <w:sz w:val="17"/>
          <w:szCs w:val="17"/>
          <w:color w:val="auto"/>
        </w:rPr>
      </w:pPr>
    </w:p>
    <w:p>
      <w:pPr>
        <w:ind w:left="1040" w:right="240" w:hanging="263"/>
        <w:spacing w:after="0" w:line="181" w:lineRule="auto"/>
        <w:tabs>
          <w:tab w:leader="none" w:pos="1040" w:val="left"/>
        </w:tabs>
        <w:numPr>
          <w:ilvl w:val="0"/>
          <w:numId w:val="7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“fair and reasonable” to us, taking into account the totality of the relationships between the parties involved (including other transactions that may be particularly favorable or advantageous to us).</w:t>
      </w:r>
    </w:p>
    <w:p>
      <w:pPr>
        <w:spacing w:after="0" w:line="185"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5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69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72" w:name="page73"/>
    <w:bookmarkEnd w:id="72"/>
    <w:p>
      <w:pPr>
        <w:ind w:left="540"/>
        <w:spacing w:after="0"/>
        <w:rPr>
          <w:sz w:val="20"/>
          <w:szCs w:val="20"/>
          <w:color w:val="auto"/>
        </w:rPr>
      </w:pPr>
      <w:r>
        <w:rPr>
          <w:rFonts w:ascii="Times New Roman" w:cs="Times New Roman" w:eastAsia="Times New Roman" w:hAnsi="Times New Roman"/>
          <w:sz w:val="17"/>
          <w:szCs w:val="17"/>
          <w:b w:val="1"/>
          <w:bCs w:val="1"/>
          <w:color w:val="auto"/>
        </w:rPr>
        <w:t>Common units are subject to our General Partner’s limited call right.</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“The Partnership Agreement—Limited Call Right” in Exhibit 2.1 to this Annual Report.</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We may choose not to retain separate counsel for ourselves or for the holders of common units.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The attorneys, independent accountants and others who perform services for us have been retained by our board of directors, our General Partner or our Managers.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may retain separate counsel for ourselves or the holders of common units in the event of a conflict of interest between our General Partner or our Managers and their respective affiliates, on the one hand, and us or the holders of common units, on the other hand, depending on the nature of the conflict. We do not intend to do so in most cases.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Capital Maritime may compete with us.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Fiduciary Duties</w:t>
      </w:r>
    </w:p>
    <w:p>
      <w:pPr>
        <w:spacing w:after="0" w:line="205"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addition, we have entered into services agreements, and may enter into additional agreements with Capital Ship Management. In the performance of its obligations under these agreements, Capital Ship Management is not held to a fiduciary standard of care but rather to the standards of care specified in the relevant agreement.</w:t>
      </w:r>
    </w:p>
    <w:p>
      <w:pPr>
        <w:spacing w:after="0" w:line="16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176" w:lineRule="exact"/>
        <w:rPr>
          <w:sz w:val="20"/>
          <w:szCs w:val="20"/>
          <w:color w:val="auto"/>
        </w:rPr>
      </w:pPr>
    </w:p>
    <w:p>
      <w:pPr>
        <w:ind w:left="1040" w:hanging="263"/>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fiduciary duties imposed on our General Partner and our directors by the MILPA;</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modifications of these duties contained in our partnership agreement;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rights and remedies of unitholders contained in the MILPA.</w:t>
      </w:r>
    </w:p>
    <w:p>
      <w:pPr>
        <w:sectPr>
          <w:pgSz w:w="11900" w:h="16838" w:orient="portrait"/>
          <w:cols w:equalWidth="0" w:num="1">
            <w:col w:w="11240"/>
          </w:cols>
          <w:pgMar w:left="320" w:top="545" w:right="339" w:bottom="0" w:gutter="0" w:footer="0" w:header="0"/>
        </w:sectPr>
      </w:pPr>
    </w:p>
    <w:p>
      <w:pPr>
        <w:spacing w:after="0" w:line="205" w:lineRule="exact"/>
        <w:rPr>
          <w:sz w:val="20"/>
          <w:szCs w:val="20"/>
          <w:color w:val="auto"/>
        </w:rPr>
      </w:pPr>
    </w:p>
    <w:p>
      <w:pPr>
        <w:ind w:left="100"/>
        <w:spacing w:after="0" w:line="272" w:lineRule="auto"/>
        <w:rPr>
          <w:sz w:val="20"/>
          <w:szCs w:val="20"/>
          <w:color w:val="auto"/>
        </w:rPr>
      </w:pPr>
      <w:r>
        <w:rPr>
          <w:rFonts w:ascii="Times New Roman" w:cs="Times New Roman" w:eastAsia="Times New Roman" w:hAnsi="Times New Roman"/>
          <w:sz w:val="17"/>
          <w:szCs w:val="17"/>
          <w:color w:val="auto"/>
        </w:rPr>
        <w:t>Marshall Islands law fiduciary duty standards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7"/>
          <w:szCs w:val="17"/>
          <w:color w:val="auto"/>
        </w:rPr>
        <w:t>Fiduciary duties are generally considered to include an obligation to act in good faith and with due care and loyalty. The duty of care, in the absence of a provision in a partnership agreement providing otherwise, would generally require a general partner and the directors of a Marshall Islands limited partnership to refrain from engaging in grossly negligent or reckless conduct, intentional misconduct or a knowing violation of law. The duty of loyalty, in the absence of a provision in a partnership agreement providing otherwise, would generally require that a partner refrain from dealing with the limited partnership in the conduct or winding up of the limited partnership business or affairs as or on behalf of a party having an interest adverse to the limited partnership, refrain from competing with the limited partnership in the conduct of the limited partnership’s business or affairs before the dissolution of the limited partnership, and to account to the limited partnership and hold as trustee for it any property, profit or benefit derived by the partner in the conduct or winding up of the limited partnership’s business or affairs or derived from a use by the partner of partnership property, including the appropriation of a limited partnership opportunity. In addition, although not a fiduciary duty, a partner shall discharge the duties to the limited partnership and exercise any rights consistently with the obligation of good faith and fair dealing.</w:t>
      </w:r>
    </w:p>
    <w:p>
      <w:pPr>
        <w:spacing w:after="0" w:line="181" w:lineRule="exact"/>
        <w:rPr>
          <w:sz w:val="20"/>
          <w:szCs w:val="20"/>
          <w:color w:val="auto"/>
        </w:rPr>
      </w:pPr>
    </w:p>
    <w:p>
      <w:pPr>
        <w:sectPr>
          <w:pgSz w:w="11900" w:h="16838" w:orient="portrait"/>
          <w:cols w:equalWidth="0" w:num="2">
            <w:col w:w="2480" w:space="320"/>
            <w:col w:w="8440"/>
          </w:cols>
          <w:pgMar w:left="320" w:top="545" w:right="339" w:bottom="0" w:gutter="0" w:footer="0" w:header="0"/>
          <w:type w:val="continuous"/>
        </w:sectPr>
      </w:pPr>
    </w:p>
    <w:tbl>
      <w:tblPr>
        <w:tblLayout w:type="fixed"/>
        <w:tblInd w:w="100" w:type="dxa"/>
        <w:tblCellMar>
          <w:top w:w="0" w:type="dxa"/>
          <w:left w:w="0" w:type="dxa"/>
          <w:bottom w:w="0" w:type="dxa"/>
          <w:right w:w="0" w:type="dxa"/>
        </w:tblCellMar>
      </w:tblPr>
      <w:tr>
        <w:trPr>
          <w:trHeight w:val="200"/>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Partnership agreement modified</w:t>
            </w: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8"/>
              </w:rPr>
              <w:t>Our partnership agreement contains provisions that waive or consent to conduct by our General Partner and its affiliates and</w:t>
            </w:r>
          </w:p>
        </w:tc>
      </w:tr>
      <w:tr>
        <w:trPr>
          <w:trHeight w:val="200"/>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standards</w:t>
            </w: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8"/>
              </w:rPr>
              <w:t>our directors that might otherwise raise issues as to compliance with fiduciary duties under the laws of the Marshall Islands.</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For example, Section 7.16 of our partnership agreement provides that when our General Partner is acting in its capacity as</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9"/>
              </w:rPr>
              <w:t>our General Partner, as opposed to in its individual capacity, it must act in “good faith” and will not be subject to any other</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8"/>
              </w:rPr>
              <w:t>standard under the laws of the Marshall Islands. In addition, when our General Partner is acting in its individual capacity, as</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opposed to in its capacity as our general partner, it may act without any fiduciary obligation to us or the unitholders</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8"/>
              </w:rPr>
              <w:t>whatsoever. These standards reduce the obligations to which our General Partner and our board of directors would otherwise</w:t>
            </w:r>
          </w:p>
        </w:tc>
      </w:tr>
      <w:tr>
        <w:trPr>
          <w:trHeight w:val="200"/>
        </w:trPr>
        <w:tc>
          <w:tcPr>
            <w:tcW w:w="24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9"/>
              </w:rPr>
              <w:t>be held. Our partnership agreement generally provides that affiliated transactions and resolutions of conflicts of interest not</w:t>
            </w:r>
          </w:p>
        </w:tc>
      </w:tr>
      <w:tr>
        <w:trPr>
          <w:trHeight w:val="217"/>
        </w:trPr>
        <w:tc>
          <w:tcPr>
            <w:tcW w:w="2420" w:type="dxa"/>
            <w:vAlign w:val="bottom"/>
          </w:tcPr>
          <w:p>
            <w:pPr>
              <w:spacing w:after="0"/>
              <w:rPr>
                <w:sz w:val="18"/>
                <w:szCs w:val="18"/>
                <w:color w:val="auto"/>
              </w:rPr>
            </w:pPr>
          </w:p>
        </w:tc>
        <w:tc>
          <w:tcPr>
            <w:tcW w:w="8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involving a vote of unitholders and that are not approved by the conflicts committee of our board of directors must be:</w:t>
            </w:r>
          </w:p>
        </w:tc>
      </w:tr>
      <w:tr>
        <w:trPr>
          <w:trHeight w:val="401"/>
        </w:trPr>
        <w:tc>
          <w:tcPr>
            <w:tcW w:w="242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on terms no less favorable to us than those generally being provided to or available from unrelated third parties; or</w:t>
            </w:r>
          </w:p>
        </w:tc>
      </w:tr>
      <w:tr>
        <w:trPr>
          <w:trHeight w:val="384"/>
        </w:trPr>
        <w:tc>
          <w:tcPr>
            <w:tcW w:w="242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and reasonable” to us, taking into account the totality of the relationships between the parties involved</w:t>
            </w:r>
          </w:p>
        </w:tc>
      </w:tr>
      <w:tr>
        <w:trPr>
          <w:trHeight w:val="217"/>
        </w:trPr>
        <w:tc>
          <w:tcPr>
            <w:tcW w:w="2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(including other transactions that may be particularly favorable or advantageous to us).</w:t>
            </w:r>
          </w:p>
        </w:tc>
      </w:tr>
    </w:tbl>
    <w:p>
      <w:pPr>
        <w:spacing w:after="0" w:line="184" w:lineRule="exact"/>
        <w:rPr>
          <w:sz w:val="20"/>
          <w:szCs w:val="20"/>
          <w:color w:val="auto"/>
        </w:rPr>
      </w:pPr>
    </w:p>
    <w:p>
      <w:pPr>
        <w:jc w:val="both"/>
        <w:ind w:left="2800" w:right="80"/>
        <w:spacing w:after="0" w:line="259" w:lineRule="auto"/>
        <w:rPr>
          <w:sz w:val="20"/>
          <w:szCs w:val="20"/>
          <w:color w:val="auto"/>
        </w:rPr>
      </w:pPr>
      <w:r>
        <w:rPr>
          <w:rFonts w:ascii="Times New Roman" w:cs="Times New Roman" w:eastAsia="Times New Roman" w:hAnsi="Times New Roman"/>
          <w:sz w:val="17"/>
          <w:szCs w:val="17"/>
          <w:color w:val="auto"/>
        </w:rPr>
        <w:t>If our board of directors does not seek approval from the conflicts committee, and our board of directors determines that the resolution or course of action taken with respect to the conflict of interest satisfies either of the standards set forth in the bullet points above, then it will be presumed that, in making its decision, our board of directors acted in good faith.</w:t>
      </w:r>
    </w:p>
    <w:p>
      <w:pPr>
        <w:sectPr>
          <w:pgSz w:w="11900" w:h="16838" w:orient="portrait"/>
          <w:cols w:equalWidth="0" w:num="1">
            <w:col w:w="11240"/>
          </w:cols>
          <w:pgMar w:left="320" w:top="545" w:right="339"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These standards reduce the obligations to which our board of directors would otherwise be held. In addition to the other</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more specific provisions limiting the obligations of our General Partner and our directors, our partnership agreement further</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provides that our General Partner and its officers and our directors, will not be liable for monetary damages to us for errors</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of judgment or for any acts or omissions unless there has been a final and non-appealable judgment by a court of competent</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jurisdiction determining that our General Partner or its officers or our directors acted in bad faith or engaged in actual fraud</w:t>
            </w:r>
          </w:p>
        </w:tc>
      </w:tr>
      <w:tr>
        <w:trPr>
          <w:trHeight w:val="217"/>
        </w:trPr>
        <w:tc>
          <w:tcPr>
            <w:tcW w:w="2620" w:type="dxa"/>
            <w:vAlign w:val="bottom"/>
          </w:tcPr>
          <w:p>
            <w:pPr>
              <w:spacing w:after="0"/>
              <w:rPr>
                <w:sz w:val="18"/>
                <w:szCs w:val="18"/>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or willful misconduct or, in the case of a criminal matter, acted with knowledge that the conduct was unlawful.</w:t>
            </w:r>
          </w:p>
        </w:tc>
      </w:tr>
      <w:tr>
        <w:trPr>
          <w:trHeight w:val="384"/>
        </w:trPr>
        <w:tc>
          <w:tcPr>
            <w:tcW w:w="2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Rights and remedies of unitholders</w:t>
            </w: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provisions of the MILPA resemble the provisions of the limited partnership act of Delaware. For example, like</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Delaware, the MILPA favors the principles of freedom of contract and enforceability of partnership agreements and allows</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partnership agreement to contain terms governing the rights of the unitholders. The rights of our unitholders, including</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voting and approval rights and the ability of the partnership to issue additional units, are governed by the terms of our</w:t>
            </w:r>
          </w:p>
        </w:tc>
      </w:tr>
      <w:tr>
        <w:trPr>
          <w:trHeight w:val="217"/>
        </w:trPr>
        <w:tc>
          <w:tcPr>
            <w:tcW w:w="262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partnership agreement. Please read “The Partnership Agreement” in Exhibit 2.1 to this Annual Report.</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4"/>
        </w:trPr>
        <w:tc>
          <w:tcPr>
            <w:tcW w:w="2620" w:type="dxa"/>
            <w:vAlign w:val="bottom"/>
          </w:tcPr>
          <w:p>
            <w:pPr>
              <w:spacing w:after="0"/>
              <w:rPr>
                <w:sz w:val="24"/>
                <w:szCs w:val="24"/>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As to remedies of unitholders, the MILPA permits a limited partner or an assignee of a partnership interest to bring action in</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High Court in the right of the limited partnership to recover a judgment in the limited partnership’s favor if general</w:t>
            </w:r>
          </w:p>
        </w:tc>
      </w:tr>
      <w:tr>
        <w:trPr>
          <w:trHeight w:val="200"/>
        </w:trPr>
        <w:tc>
          <w:tcPr>
            <w:tcW w:w="2620" w:type="dxa"/>
            <w:vAlign w:val="bottom"/>
          </w:tcPr>
          <w:p>
            <w:pPr>
              <w:spacing w:after="0"/>
              <w:rPr>
                <w:sz w:val="17"/>
                <w:szCs w:val="17"/>
                <w:color w:val="auto"/>
              </w:rPr>
            </w:pPr>
          </w:p>
        </w:tc>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partners with authority to do so have refused to bring the action or if effort to cause those general partners to bring the action</w:t>
            </w:r>
          </w:p>
        </w:tc>
      </w:tr>
      <w:tr>
        <w:trPr>
          <w:trHeight w:val="217"/>
        </w:trPr>
        <w:tc>
          <w:tcPr>
            <w:tcW w:w="262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 not likely to succeed.</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64"/>
        </w:trPr>
        <w:tc>
          <w:tcPr>
            <w:tcW w:w="2620" w:type="dxa"/>
            <w:vAlign w:val="bottom"/>
          </w:tcPr>
          <w:p>
            <w:pPr>
              <w:spacing w:after="0"/>
              <w:rPr>
                <w:sz w:val="24"/>
                <w:szCs w:val="24"/>
                <w:color w:val="auto"/>
              </w:rPr>
            </w:pPr>
          </w:p>
        </w:tc>
        <w:tc>
          <w:tcPr>
            <w:tcW w:w="7400" w:type="dxa"/>
            <w:vAlign w:val="bottom"/>
          </w:tcPr>
          <w:p>
            <w:pPr>
              <w:ind w:left="2920"/>
              <w:spacing w:after="0"/>
              <w:rPr>
                <w:sz w:val="20"/>
                <w:szCs w:val="20"/>
                <w:color w:val="auto"/>
              </w:rPr>
            </w:pPr>
            <w:r>
              <w:rPr>
                <w:rFonts w:ascii="Times New Roman" w:cs="Times New Roman" w:eastAsia="Times New Roman" w:hAnsi="Times New Roman"/>
                <w:sz w:val="17"/>
                <w:szCs w:val="17"/>
                <w:color w:val="auto"/>
              </w:rPr>
              <w:t>70</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24" w:right="339" w:bottom="1440" w:gutter="0" w:footer="0" w:header="0"/>
        </w:sectPr>
      </w:pPr>
    </w:p>
    <w:bookmarkStart w:id="74" w:name="page75"/>
    <w:bookmarkEnd w:id="74"/>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6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“The Partnership Agreement—Indemnification.” in Exhibit 2.1 to this Annual Report.</w:t>
      </w:r>
    </w:p>
    <w:p>
      <w:pPr>
        <w:spacing w:after="0" w:line="177" w:lineRule="exact"/>
        <w:rPr>
          <w:sz w:val="20"/>
          <w:szCs w:val="20"/>
          <w:color w:val="auto"/>
        </w:rPr>
      </w:pPr>
    </w:p>
    <w:p>
      <w:pPr>
        <w:ind w:left="1060" w:hanging="534"/>
        <w:spacing w:after="0"/>
        <w:tabs>
          <w:tab w:leader="none" w:pos="10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Interests of Experts and Counsel</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5" w:lineRule="exact"/>
        <w:rPr>
          <w:sz w:val="20"/>
          <w:szCs w:val="20"/>
          <w:color w:val="auto"/>
        </w:rPr>
      </w:pPr>
    </w:p>
    <w:p>
      <w:pPr>
        <w:ind w:left="1060" w:hanging="534"/>
        <w:spacing w:after="0"/>
        <w:tabs>
          <w:tab w:leader="none" w:pos="106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Statements and Other Financial Information.</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See Item 18 for additional information required to be disclosed under this Item 8.</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200" w:lineRule="exact"/>
        <w:rPr>
          <w:sz w:val="20"/>
          <w:szCs w:val="20"/>
          <w:color w:val="auto"/>
        </w:rPr>
      </w:pPr>
    </w:p>
    <w:p>
      <w:pPr>
        <w:spacing w:after="0" w:line="277"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ind w:left="540"/>
        <w:spacing w:after="0"/>
        <w:rPr>
          <w:sz w:val="20"/>
          <w:szCs w:val="20"/>
          <w:color w:val="auto"/>
        </w:rPr>
      </w:pPr>
      <w:r>
        <w:rPr>
          <w:rFonts w:ascii="Times New Roman" w:cs="Times New Roman" w:eastAsia="Times New Roman" w:hAnsi="Times New Roman"/>
          <w:sz w:val="17"/>
          <w:szCs w:val="17"/>
          <w:b w:val="1"/>
          <w:bCs w:val="1"/>
          <w:color w:val="auto"/>
        </w:rPr>
        <w:t>HOW WE MAKE CASH DISTRIBUTIONS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Distributions of Available Cash</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09"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Within approximately 45 days after the end of each quarter, subject to legal limitations, we distribute all of our available cash to unitholders of record on the applicable record date.</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Definition of Available Cash</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Available cash means, for each fiscal quarter, all cash and cash equivalents on hand at the end of the quarter:</w:t>
      </w:r>
    </w:p>
    <w:p>
      <w:pPr>
        <w:spacing w:after="0" w:line="205" w:lineRule="exact"/>
        <w:rPr>
          <w:sz w:val="20"/>
          <w:szCs w:val="20"/>
          <w:color w:val="auto"/>
        </w:rPr>
      </w:pPr>
    </w:p>
    <w:p>
      <w:pPr>
        <w:ind w:left="1040" w:hanging="263"/>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amount of cash reserves established by our board of directors to:</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proper conduct of our business (including reserves for future capital expenditures and for our anticipated credit needs);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applicable law, any of our debt instruments, or other agreements; or</w:t>
      </w:r>
    </w:p>
    <w:p>
      <w:pPr>
        <w:spacing w:after="0" w:line="205" w:lineRule="exact"/>
        <w:rPr>
          <w:rFonts w:ascii="Times New Roman" w:cs="Times New Roman" w:eastAsia="Times New Roman" w:hAnsi="Times New Roman"/>
          <w:sz w:val="17"/>
          <w:szCs w:val="17"/>
          <w:color w:val="auto"/>
        </w:rPr>
      </w:pPr>
    </w:p>
    <w:p>
      <w:pPr>
        <w:ind w:left="1040" w:right="340" w:hanging="263"/>
        <w:spacing w:after="0" w:line="272" w:lineRule="auto"/>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under our partnership agreement, provide funds for distributions to our unitholders and to our General Partner for any one or more of the next four quarters;</w:t>
      </w:r>
    </w:p>
    <w:p>
      <w:pPr>
        <w:spacing w:after="0" w:line="15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Minimum Quarterly Distribution</w:t>
      </w:r>
    </w:p>
    <w:p>
      <w:pPr>
        <w:spacing w:after="0" w:line="209" w:lineRule="exact"/>
        <w:rPr>
          <w:sz w:val="20"/>
          <w:szCs w:val="20"/>
          <w:color w:val="auto"/>
        </w:rPr>
      </w:pPr>
    </w:p>
    <w:p>
      <w:pPr>
        <w:jc w:val="both"/>
        <w:ind w:firstLine="523"/>
        <w:spacing w:after="0" w:line="275" w:lineRule="auto"/>
        <w:rPr>
          <w:sz w:val="20"/>
          <w:szCs w:val="20"/>
          <w:color w:val="auto"/>
        </w:rPr>
      </w:pPr>
      <w:r>
        <w:rPr>
          <w:rFonts w:ascii="Times New Roman" w:cs="Times New Roman" w:eastAsia="Times New Roman" w:hAnsi="Times New Roman"/>
          <w:sz w:val="16"/>
          <w:szCs w:val="16"/>
          <w:color w:val="auto"/>
        </w:rPr>
        <w:t>Our partnership agreement provides that the minimum quarterly distribution on our common units is (on a pre-reverse split-adjusted basis) $0.2325 per unit, which is equal to $0.93 per unit per year, or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Distribution Policy</w:t>
      </w:r>
    </w:p>
    <w:p>
      <w:pPr>
        <w:spacing w:after="0" w:line="20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78"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158" w:lineRule="exact"/>
        <w:rPr>
          <w:sz w:val="20"/>
          <w:szCs w:val="20"/>
          <w:color w:val="auto"/>
        </w:rPr>
      </w:pPr>
    </w:p>
    <w:p>
      <w:pPr>
        <w:jc w:val="both"/>
        <w:ind w:left="1040" w:hanging="263"/>
        <w:spacing w:after="0" w:line="259" w:lineRule="auto"/>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4" w:lineRule="auto"/>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174"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units are subject to the prior distribution rights of any holders of our preferred units then outstanding.</w:t>
      </w:r>
    </w:p>
    <w:p>
      <w:pPr>
        <w:spacing w:after="0" w:line="205"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6" w:name="page77"/>
    <w:bookmarkEnd w:id="76"/>
    <w:p>
      <w:pPr>
        <w:jc w:val="both"/>
        <w:ind w:left="1040" w:hanging="263"/>
        <w:spacing w:after="0" w:line="254" w:lineRule="auto"/>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174" w:lineRule="exact"/>
        <w:rPr>
          <w:rFonts w:ascii="Times New Roman" w:cs="Times New Roman" w:eastAsia="Times New Roman" w:hAnsi="Times New Roman"/>
          <w:sz w:val="17"/>
          <w:szCs w:val="17"/>
          <w:color w:val="auto"/>
        </w:rPr>
      </w:pPr>
    </w:p>
    <w:p>
      <w:pPr>
        <w:ind w:left="1040" w:hanging="263"/>
        <w:spacing w:after="0" w:line="304" w:lineRule="auto"/>
        <w:tabs>
          <w:tab w:leader="none" w:pos="10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135" w:lineRule="exact"/>
        <w:rPr>
          <w:rFonts w:ascii="Times New Roman" w:cs="Times New Roman" w:eastAsia="Times New Roman" w:hAnsi="Times New Roman"/>
          <w:sz w:val="16"/>
          <w:szCs w:val="16"/>
          <w:color w:val="auto"/>
        </w:rPr>
      </w:pPr>
    </w:p>
    <w:p>
      <w:pPr>
        <w:jc w:val="both"/>
        <w:ind w:left="1040" w:hanging="263"/>
        <w:spacing w:after="0" w:line="259" w:lineRule="auto"/>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69" w:lineRule="exact"/>
        <w:rPr>
          <w:sz w:val="20"/>
          <w:szCs w:val="20"/>
          <w:color w:val="auto"/>
        </w:rPr>
      </w:pPr>
    </w:p>
    <w:p>
      <w:pPr>
        <w:ind w:right="200" w:firstLine="523"/>
        <w:spacing w:after="0" w:line="272" w:lineRule="auto"/>
        <w:rPr>
          <w:sz w:val="20"/>
          <w:szCs w:val="20"/>
          <w:color w:val="auto"/>
        </w:rPr>
      </w:pPr>
      <w:r>
        <w:rPr>
          <w:rFonts w:ascii="Times New Roman" w:cs="Times New Roman" w:eastAsia="Times New Roman" w:hAnsi="Times New Roman"/>
          <w:sz w:val="17"/>
          <w:szCs w:val="17"/>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Operating Surplus and Capital Surplus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09"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Definition of Operating Surplus</w:t>
      </w:r>
    </w:p>
    <w:p>
      <w:pPr>
        <w:spacing w:after="0" w:line="209" w:lineRule="exact"/>
        <w:rPr>
          <w:sz w:val="20"/>
          <w:szCs w:val="20"/>
          <w:color w:val="auto"/>
        </w:rPr>
      </w:pPr>
    </w:p>
    <w:p>
      <w:pPr>
        <w:ind w:right="280" w:firstLine="523"/>
        <w:spacing w:after="0" w:line="272" w:lineRule="auto"/>
        <w:rPr>
          <w:sz w:val="20"/>
          <w:szCs w:val="20"/>
          <w:color w:val="auto"/>
        </w:rPr>
      </w:pPr>
      <w:r>
        <w:rPr>
          <w:rFonts w:ascii="Times New Roman" w:cs="Times New Roman" w:eastAsia="Times New Roman" w:hAnsi="Times New Roman"/>
          <w:sz w:val="17"/>
          <w:szCs w:val="17"/>
          <w:color w:val="auto"/>
        </w:rPr>
        <w:t>For any period, other than the quarter during which an event giving rise to our liquidation occurs (unless our unitholders have a right to elect to continue our business and so elect), operating surplus generally means:</w:t>
      </w:r>
    </w:p>
    <w:p>
      <w:pPr>
        <w:spacing w:after="0" w:line="158" w:lineRule="exact"/>
        <w:rPr>
          <w:sz w:val="20"/>
          <w:szCs w:val="20"/>
          <w:color w:val="auto"/>
        </w:rPr>
      </w:pPr>
    </w:p>
    <w:p>
      <w:pPr>
        <w:ind w:left="1040" w:right="340" w:hanging="263"/>
        <w:spacing w:after="0" w:line="272" w:lineRule="auto"/>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158" w:lineRule="exact"/>
        <w:rPr>
          <w:rFonts w:ascii="Times New Roman" w:cs="Times New Roman" w:eastAsia="Times New Roman" w:hAnsi="Times New Roman"/>
          <w:sz w:val="17"/>
          <w:szCs w:val="17"/>
          <w:color w:val="auto"/>
        </w:rPr>
      </w:pPr>
    </w:p>
    <w:p>
      <w:pPr>
        <w:ind w:left="1040" w:right="160" w:hanging="263"/>
        <w:spacing w:after="0" w:line="181" w:lineRule="auto"/>
        <w:tabs>
          <w:tab w:leader="none" w:pos="1040" w:val="left"/>
        </w:tabs>
        <w:numPr>
          <w:ilvl w:val="0"/>
          <w:numId w:val="8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184" w:lineRule="exact"/>
        <w:rPr>
          <w:rFonts w:ascii="Times New Roman" w:cs="Times New Roman" w:eastAsia="Times New Roman" w:hAnsi="Times New Roman"/>
          <w:sz w:val="32"/>
          <w:szCs w:val="32"/>
          <w:color w:val="auto"/>
          <w:vertAlign w:val="subscript"/>
        </w:rPr>
      </w:pPr>
    </w:p>
    <w:p>
      <w:pPr>
        <w:ind w:left="1040" w:hanging="263"/>
        <w:spacing w:after="0"/>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borrowings made after the end of a quarter but before the date of determination of operating surplus for the quarter; plus</w:t>
      </w:r>
    </w:p>
    <w:p>
      <w:pPr>
        <w:spacing w:after="0" w:line="205"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16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operating expenditures after the repayment of working capital borrowings, but not (1) the repayment of other borrowings, (2) actual maintenance and replacement capital expenditures or expansion capital expenditures or investment capital expenditures, (3) transaction expenses (including taxes) related to interim capital transactions or (4) distributions; less</w:t>
      </w:r>
    </w:p>
    <w:p>
      <w:pPr>
        <w:spacing w:after="0" w:line="168" w:lineRule="exact"/>
        <w:rPr>
          <w:rFonts w:ascii="Times New Roman" w:cs="Times New Roman" w:eastAsia="Times New Roman" w:hAnsi="Times New Roman"/>
          <w:sz w:val="17"/>
          <w:szCs w:val="17"/>
          <w:color w:val="auto"/>
        </w:rPr>
      </w:pPr>
    </w:p>
    <w:p>
      <w:pPr>
        <w:ind w:left="1040" w:right="120" w:hanging="263"/>
        <w:spacing w:after="0" w:line="272" w:lineRule="auto"/>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maintenance and replacement capital expenditures and the amount of cash reserves established by our board of directors to provide funds for future operating expenditures; less</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working capital borrowings not repaid within twelve months after having been incurred.</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9"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6"/>
          <w:szCs w:val="16"/>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26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Investment capital expenditures are those that are neither maintenance and replacement capital expenditures nor expansion capital expenditures.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Investment capital expenditures largely will consist of capital expenditures made for investment purposes.</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6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178"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Definition of Capital Surplus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Any available cash that is distributed after we distribute the operating surplus is capital surplus. Capital surplus generally is expected to be generated by:</w:t>
      </w:r>
    </w:p>
    <w:p>
      <w:pPr>
        <w:spacing w:after="0" w:line="205" w:lineRule="exact"/>
        <w:rPr>
          <w:sz w:val="20"/>
          <w:szCs w:val="20"/>
          <w:color w:val="auto"/>
        </w:rPr>
      </w:pPr>
    </w:p>
    <w:p>
      <w:pPr>
        <w:ind w:left="1040" w:hanging="263"/>
        <w:spacing w:after="0"/>
        <w:tabs>
          <w:tab w:leader="none" w:pos="10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 other than working capital borrowings;</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debt and equity securities; and</w:t>
      </w:r>
    </w:p>
    <w:p>
      <w:pPr>
        <w:spacing w:after="0" w:line="205" w:lineRule="exact"/>
        <w:rPr>
          <w:rFonts w:ascii="Times New Roman" w:cs="Times New Roman" w:eastAsia="Times New Roman" w:hAnsi="Times New Roman"/>
          <w:sz w:val="17"/>
          <w:szCs w:val="17"/>
          <w:color w:val="auto"/>
        </w:rPr>
      </w:pPr>
    </w:p>
    <w:p>
      <w:pPr>
        <w:ind w:left="1040" w:right="60" w:hanging="263"/>
        <w:spacing w:after="0" w:line="272" w:lineRule="auto"/>
        <w:tabs>
          <w:tab w:leader="none" w:pos="10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Characterization of Cash Distributions</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Distributions of Available Cash From Operating Surplus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make quarterly distributions of available cash from operating surplus in the following manner, subject to applicable law:</w:t>
      </w:r>
    </w:p>
    <w:p>
      <w:pPr>
        <w:spacing w:after="0" w:line="205" w:lineRule="exact"/>
        <w:rPr>
          <w:sz w:val="20"/>
          <w:szCs w:val="20"/>
          <w:color w:val="auto"/>
        </w:rPr>
      </w:pPr>
    </w:p>
    <w:p>
      <w:pPr>
        <w:ind w:left="1040" w:right="160" w:hanging="263"/>
        <w:spacing w:after="0" w:line="272" w:lineRule="auto"/>
        <w:tabs>
          <w:tab w:leader="none" w:pos="10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98.0% to all unitholders, pro rata, and 2.0% to our General Partner, until we distribute for each outstanding unit an amount equal to the minimum quarterly distribution for that quarter;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in the manner described in “—Incentive Distribution Rights” below.</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preceding paragraph and other similar disclosure in this Section assumes that our General Partner maintains its initial 2.0% general partner interest.</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the date of this Annual Report, our General Partner holds a 1.7% general partner interest.</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8" w:name="page79"/>
    <w:bookmarkEnd w:id="78"/>
    <w:p>
      <w:pPr>
        <w:ind w:left="540"/>
        <w:spacing w:after="0"/>
        <w:rPr>
          <w:sz w:val="20"/>
          <w:szCs w:val="20"/>
          <w:color w:val="auto"/>
        </w:rPr>
      </w:pPr>
      <w:r>
        <w:rPr>
          <w:rFonts w:ascii="Times New Roman" w:cs="Times New Roman" w:eastAsia="Times New Roman" w:hAnsi="Times New Roman"/>
          <w:sz w:val="17"/>
          <w:szCs w:val="17"/>
          <w:b w:val="1"/>
          <w:bCs w:val="1"/>
          <w:color w:val="auto"/>
        </w:rPr>
        <w:t>Incentive Distribution Rights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for any quarter:</w:t>
      </w:r>
    </w:p>
    <w:p>
      <w:pPr>
        <w:spacing w:after="0" w:line="205" w:lineRule="exact"/>
        <w:rPr>
          <w:sz w:val="20"/>
          <w:szCs w:val="20"/>
          <w:color w:val="auto"/>
        </w:rPr>
      </w:pPr>
    </w:p>
    <w:p>
      <w:pPr>
        <w:ind w:left="1040" w:right="80" w:hanging="263"/>
        <w:spacing w:after="0" w:line="272" w:lineRule="auto"/>
        <w:tabs>
          <w:tab w:leader="none" w:pos="10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to the holders of any other outstanding units that are senior in right of distribution to our common units the agreed amount of distribution;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distributed available cash from operating surplus to the common unitholders in an amount equal to the minimum quarterly distribution,</w:t>
      </w:r>
    </w:p>
    <w:p>
      <w:pPr>
        <w:spacing w:after="0" w:line="205" w:lineRule="exact"/>
        <w:rPr>
          <w:sz w:val="20"/>
          <w:szCs w:val="20"/>
          <w:color w:val="auto"/>
        </w:rPr>
      </w:pPr>
    </w:p>
    <w:p>
      <w:pPr>
        <w:ind w:right="320" w:firstLine="523"/>
        <w:spacing w:after="0" w:line="272" w:lineRule="auto"/>
        <w:rPr>
          <w:sz w:val="20"/>
          <w:szCs w:val="20"/>
          <w:color w:val="auto"/>
        </w:rPr>
      </w:pPr>
      <w:r>
        <w:rPr>
          <w:rFonts w:ascii="Times New Roman" w:cs="Times New Roman" w:eastAsia="Times New Roman" w:hAnsi="Times New Roman"/>
          <w:sz w:val="17"/>
          <w:szCs w:val="17"/>
          <w:color w:val="auto"/>
        </w:rPr>
        <w:t>then, we will distribute any additional available cash from operating surplus for that quarter among the unitholders and our General Partner in the following manner:</w:t>
      </w:r>
    </w:p>
    <w:p>
      <w:pPr>
        <w:spacing w:after="0" w:line="158" w:lineRule="exact"/>
        <w:rPr>
          <w:sz w:val="20"/>
          <w:szCs w:val="20"/>
          <w:color w:val="auto"/>
        </w:rPr>
      </w:pPr>
    </w:p>
    <w:p>
      <w:pPr>
        <w:ind w:left="1040" w:right="240" w:hanging="263"/>
        <w:spacing w:after="0" w:line="272" w:lineRule="auto"/>
        <w:tabs>
          <w:tab w:leader="none" w:pos="10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98.0% to all unitholders, pro rata, and 2.0% to our General Partner, until each unitholder receives a total of $1.6975 per unit for that quarter (the “first target distribution”),</w:t>
      </w:r>
    </w:p>
    <w:p>
      <w:pPr>
        <w:spacing w:after="0" w:line="158" w:lineRule="exact"/>
        <w:rPr>
          <w:rFonts w:ascii="Times New Roman" w:cs="Times New Roman" w:eastAsia="Times New Roman" w:hAnsi="Times New Roman"/>
          <w:sz w:val="17"/>
          <w:szCs w:val="17"/>
          <w:color w:val="auto"/>
        </w:rPr>
      </w:pPr>
    </w:p>
    <w:p>
      <w:pPr>
        <w:ind w:left="1040" w:right="260" w:hanging="263"/>
        <w:spacing w:after="0" w:line="181" w:lineRule="auto"/>
        <w:tabs>
          <w:tab w:leader="none" w:pos="1040" w:val="left"/>
        </w:tabs>
        <w:numPr>
          <w:ilvl w:val="0"/>
          <w:numId w:val="9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second, 85.0% to all unitholders, pro rata, and 15.0% to our General Partner, until each unitholder receives a total of $1.8725 per unit for that quarter (the “second target distribution”),</w:t>
      </w:r>
    </w:p>
    <w:p>
      <w:pPr>
        <w:spacing w:after="0" w:line="184" w:lineRule="exact"/>
        <w:rPr>
          <w:rFonts w:ascii="Times New Roman" w:cs="Times New Roman" w:eastAsia="Times New Roman" w:hAnsi="Times New Roman"/>
          <w:sz w:val="32"/>
          <w:szCs w:val="32"/>
          <w:color w:val="auto"/>
          <w:vertAlign w:val="subscript"/>
        </w:rPr>
      </w:pPr>
    </w:p>
    <w:p>
      <w:pPr>
        <w:ind w:left="1040" w:right="100" w:hanging="263"/>
        <w:spacing w:after="0" w:line="272" w:lineRule="auto"/>
        <w:tabs>
          <w:tab w:leader="none" w:pos="10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75.0% to all unitholders, pro rata, and 25.0% to our General Partner, until each unitholder receives a total of $2.0475 per unit for that quarter (the “third target distribution”),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65.0% to all unitholders, pro rata, and 35.0% to our General Partner.</w:t>
      </w:r>
    </w:p>
    <w:p>
      <w:pPr>
        <w:spacing w:after="0" w:line="205" w:lineRule="exact"/>
        <w:rPr>
          <w:sz w:val="20"/>
          <w:szCs w:val="20"/>
          <w:color w:val="auto"/>
        </w:rPr>
      </w:pPr>
    </w:p>
    <w:p>
      <w:pPr>
        <w:ind w:firstLine="523"/>
        <w:spacing w:after="0" w:line="259" w:lineRule="auto"/>
        <w:rPr>
          <w:sz w:val="20"/>
          <w:szCs w:val="20"/>
          <w:color w:val="auto"/>
        </w:rPr>
      </w:pPr>
      <w:r>
        <w:rPr>
          <w:rFonts w:ascii="Times New Roman" w:cs="Times New Roman" w:eastAsia="Times New Roman" w:hAnsi="Times New Roman"/>
          <w:sz w:val="17"/>
          <w:szCs w:val="17"/>
          <w:color w:val="auto"/>
        </w:rPr>
        <w:t>The percentage interests set forth above assume that our General Partner maintains its initial 2.0% general partner interest and has not transferred the incentive distribution rights and that we do not issue additional classes of equity securities. As of the date of this Annual Report, our General Partner holds a 1.7% general partner interest.</w:t>
      </w:r>
    </w:p>
    <w:p>
      <w:pPr>
        <w:spacing w:after="0" w:line="169" w:lineRule="exact"/>
        <w:rPr>
          <w:sz w:val="20"/>
          <w:szCs w:val="20"/>
          <w:color w:val="auto"/>
        </w:rPr>
      </w:pPr>
    </w:p>
    <w:p>
      <w:pPr>
        <w:ind w:right="200" w:firstLine="523"/>
        <w:spacing w:after="0" w:line="259" w:lineRule="auto"/>
        <w:rPr>
          <w:sz w:val="20"/>
          <w:szCs w:val="20"/>
          <w:color w:val="auto"/>
        </w:rPr>
      </w:pPr>
      <w:r>
        <w:rPr>
          <w:rFonts w:ascii="Times New Roman" w:cs="Times New Roman" w:eastAsia="Times New Roman" w:hAnsi="Times New Roman"/>
          <w:sz w:val="17"/>
          <w:szCs w:val="17"/>
          <w:color w:val="auto"/>
        </w:rPr>
        <w:t>Following discussion with, and with the unanimous support of, the conflicts committee of our board of directors, Capital Maritime permanently waived its rights to receive quarterly incentive distributions between $1.6975 and $1.75. This waiver effectively increases the first target distribution and the lower bound of the second target distribution (as referenced in the table below) from $1.6975 to $1.75.</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Percentage Allocations of Available Cash From Operating Surplus</w:t>
      </w:r>
    </w:p>
    <w:p>
      <w:pPr>
        <w:spacing w:after="0" w:line="209"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6"/>
          <w:szCs w:val="16"/>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initial 2.0% general partner interest and that our General Partner has not transferred the incentive distribution rights. As of the date of this Annual Report, our General Partner holds a 1.7% general partner interest.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40" w:type="dxa"/>
            <w:vAlign w:val="bottom"/>
          </w:tcPr>
          <w:p>
            <w:pPr>
              <w:spacing w:after="0"/>
              <w:rPr>
                <w:sz w:val="17"/>
                <w:szCs w:val="17"/>
                <w:color w:val="auto"/>
              </w:rPr>
            </w:pPr>
          </w:p>
        </w:tc>
        <w:tc>
          <w:tcPr>
            <w:tcW w:w="26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6"/>
              </w:rPr>
              <w:t>Total Quarterly Distribution</w:t>
            </w:r>
          </w:p>
        </w:tc>
        <w:tc>
          <w:tcPr>
            <w:tcW w:w="22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21"/>
        </w:trPr>
        <w:tc>
          <w:tcPr>
            <w:tcW w:w="4240" w:type="dxa"/>
            <w:vAlign w:val="bottom"/>
          </w:tcPr>
          <w:p>
            <w:pPr>
              <w:spacing w:after="0"/>
              <w:rPr>
                <w:sz w:val="19"/>
                <w:szCs w:val="19"/>
                <w:color w:val="auto"/>
              </w:rPr>
            </w:pPr>
          </w:p>
        </w:tc>
        <w:tc>
          <w:tcPr>
            <w:tcW w:w="26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Target Amount</w:t>
            </w:r>
          </w:p>
        </w:tc>
        <w:tc>
          <w:tcPr>
            <w:tcW w:w="438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Marginal Percentage Interest in Distributions</w:t>
            </w:r>
          </w:p>
        </w:tc>
      </w:tr>
      <w:tr>
        <w:trPr>
          <w:trHeight w:val="193"/>
        </w:trPr>
        <w:tc>
          <w:tcPr>
            <w:tcW w:w="4240" w:type="dxa"/>
            <w:vAlign w:val="bottom"/>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Borders>
              <w:top w:val="single" w:sz="8" w:color="auto"/>
            </w:tcBorders>
          </w:tcPr>
          <w:p>
            <w:pPr>
              <w:jc w:val="right"/>
              <w:ind w:right="517"/>
              <w:spacing w:after="0" w:line="193" w:lineRule="exact"/>
              <w:rPr>
                <w:sz w:val="20"/>
                <w:szCs w:val="20"/>
                <w:color w:val="auto"/>
              </w:rPr>
            </w:pPr>
            <w:r>
              <w:rPr>
                <w:rFonts w:ascii="Times New Roman" w:cs="Times New Roman" w:eastAsia="Times New Roman" w:hAnsi="Times New Roman"/>
                <w:sz w:val="17"/>
                <w:szCs w:val="17"/>
                <w:b w:val="1"/>
                <w:bCs w:val="1"/>
                <w:color w:val="auto"/>
              </w:rPr>
              <w:t>Unitholders</w:t>
            </w:r>
          </w:p>
        </w:tc>
        <w:tc>
          <w:tcPr>
            <w:tcW w:w="2160" w:type="dxa"/>
            <w:vAlign w:val="bottom"/>
            <w:tcBorders>
              <w:top w:val="single" w:sz="8" w:color="auto"/>
            </w:tcBorders>
          </w:tcPr>
          <w:p>
            <w:pPr>
              <w:jc w:val="center"/>
              <w:ind w:left="117"/>
              <w:spacing w:after="0" w:line="193" w:lineRule="exact"/>
              <w:rPr>
                <w:sz w:val="20"/>
                <w:szCs w:val="20"/>
                <w:color w:val="auto"/>
              </w:rPr>
            </w:pPr>
            <w:r>
              <w:rPr>
                <w:rFonts w:ascii="Times New Roman" w:cs="Times New Roman" w:eastAsia="Times New Roman" w:hAnsi="Times New Roman"/>
                <w:sz w:val="17"/>
                <w:szCs w:val="17"/>
                <w:b w:val="1"/>
                <w:bCs w:val="1"/>
                <w:color w:val="auto"/>
                <w:w w:val="97"/>
              </w:rPr>
              <w:t>General Partner</w:t>
            </w:r>
          </w:p>
        </w:tc>
      </w:tr>
      <w:tr>
        <w:trPr>
          <w:trHeight w:val="20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Minimum Quarterly Distribution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$1.6275</w:t>
            </w:r>
          </w:p>
        </w:tc>
        <w:tc>
          <w:tcPr>
            <w:tcW w:w="440" w:type="dxa"/>
            <w:vAlign w:val="bottom"/>
            <w:shd w:val="clear" w:color="auto" w:fill="CCEEFF"/>
          </w:tcPr>
          <w:p>
            <w:pPr>
              <w:spacing w:after="0"/>
              <w:rPr>
                <w:sz w:val="17"/>
                <w:szCs w:val="17"/>
                <w:color w:val="auto"/>
              </w:rPr>
            </w:pPr>
          </w:p>
        </w:tc>
        <w:tc>
          <w:tcPr>
            <w:tcW w:w="22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98.0%</w:t>
            </w:r>
          </w:p>
        </w:tc>
        <w:tc>
          <w:tcPr>
            <w:tcW w:w="2160" w:type="dxa"/>
            <w:vAlign w:val="bottom"/>
            <w:shd w:val="clear" w:color="auto" w:fill="CCEEFF"/>
          </w:tcPr>
          <w:p>
            <w:pPr>
              <w:jc w:val="center"/>
              <w:ind w:left="117"/>
              <w:spacing w:after="0"/>
              <w:rPr>
                <w:sz w:val="20"/>
                <w:szCs w:val="20"/>
                <w:color w:val="auto"/>
              </w:rPr>
            </w:pPr>
            <w:r>
              <w:rPr>
                <w:rFonts w:ascii="Times New Roman" w:cs="Times New Roman" w:eastAsia="Times New Roman" w:hAnsi="Times New Roman"/>
                <w:sz w:val="17"/>
                <w:szCs w:val="17"/>
                <w:color w:val="auto"/>
              </w:rPr>
              <w:t>2.0%</w:t>
            </w:r>
          </w:p>
        </w:tc>
      </w:tr>
      <w:tr>
        <w:trPr>
          <w:trHeight w:val="200"/>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First Target Distribution</w:t>
            </w:r>
          </w:p>
        </w:tc>
        <w:tc>
          <w:tcPr>
            <w:tcW w:w="26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6"/>
              </w:rPr>
              <w:t>up to $1.6975 (1)</w:t>
            </w:r>
          </w:p>
        </w:tc>
        <w:tc>
          <w:tcPr>
            <w:tcW w:w="22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98.0%</w:t>
            </w:r>
          </w:p>
        </w:tc>
        <w:tc>
          <w:tcPr>
            <w:tcW w:w="216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rPr>
              <w:t>2.0%</w:t>
            </w:r>
          </w:p>
        </w:tc>
      </w:tr>
      <w:tr>
        <w:trPr>
          <w:trHeight w:val="20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Target Distribution</w:t>
            </w:r>
          </w:p>
        </w:tc>
        <w:tc>
          <w:tcPr>
            <w:tcW w:w="26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8"/>
              </w:rPr>
              <w:t>above $1.6975 (1) up to $1.8725</w:t>
            </w:r>
          </w:p>
        </w:tc>
        <w:tc>
          <w:tcPr>
            <w:tcW w:w="22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85.0%</w:t>
            </w:r>
          </w:p>
        </w:tc>
        <w:tc>
          <w:tcPr>
            <w:tcW w:w="216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7"/>
                <w:szCs w:val="17"/>
                <w:color w:val="auto"/>
                <w:w w:val="95"/>
              </w:rPr>
              <w:t>15.0%</w:t>
            </w:r>
          </w:p>
        </w:tc>
      </w:tr>
      <w:tr>
        <w:trPr>
          <w:trHeight w:val="200"/>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Third Target Distribution</w:t>
            </w:r>
          </w:p>
        </w:tc>
        <w:tc>
          <w:tcPr>
            <w:tcW w:w="26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above $1.8725 up to $2.0475</w:t>
            </w:r>
          </w:p>
        </w:tc>
        <w:tc>
          <w:tcPr>
            <w:tcW w:w="22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75.0%</w:t>
            </w:r>
          </w:p>
        </w:tc>
        <w:tc>
          <w:tcPr>
            <w:tcW w:w="216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25.0%</w:t>
            </w:r>
          </w:p>
        </w:tc>
      </w:tr>
      <w:tr>
        <w:trPr>
          <w:trHeight w:val="20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26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7"/>
              </w:rPr>
              <w:t>above $2.0475</w:t>
            </w:r>
          </w:p>
        </w:tc>
        <w:tc>
          <w:tcPr>
            <w:tcW w:w="22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65.0%</w:t>
            </w:r>
          </w:p>
        </w:tc>
        <w:tc>
          <w:tcPr>
            <w:tcW w:w="216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7"/>
                <w:szCs w:val="17"/>
                <w:color w:val="auto"/>
                <w:w w:val="95"/>
              </w:rPr>
              <w:t>35.0%</w:t>
            </w:r>
          </w:p>
        </w:tc>
      </w:tr>
    </w:tbl>
    <w:p>
      <w:pPr>
        <w:spacing w:after="0" w:line="184" w:lineRule="exact"/>
        <w:rPr>
          <w:sz w:val="20"/>
          <w:szCs w:val="20"/>
          <w:color w:val="auto"/>
        </w:rPr>
      </w:pPr>
    </w:p>
    <w:p>
      <w:pPr>
        <w:jc w:val="both"/>
        <w:ind w:left="380" w:hanging="380"/>
        <w:spacing w:after="0" w:line="254" w:lineRule="auto"/>
        <w:tabs>
          <w:tab w:leader="none" w:pos="3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disclosed on our Report on Form 6-K furnished on August 26, 2014, Capital Maritime unilaterally notified the Partnership that it decided to waive its rights to receive quarterly incentive distributions between $1.6975 and $1.75.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$1.6975 to $1.75.</w:t>
      </w:r>
    </w:p>
    <w:p>
      <w:pPr>
        <w:spacing w:after="0" w:line="27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9" w:name="page80"/>
    <w:bookmarkEnd w:id="79"/>
    <w:p>
      <w:pPr>
        <w:ind w:left="540"/>
        <w:spacing w:after="0"/>
        <w:rPr>
          <w:sz w:val="20"/>
          <w:szCs w:val="20"/>
          <w:color w:val="auto"/>
        </w:rPr>
      </w:pPr>
      <w:r>
        <w:rPr>
          <w:rFonts w:ascii="Times New Roman" w:cs="Times New Roman" w:eastAsia="Times New Roman" w:hAnsi="Times New Roman"/>
          <w:sz w:val="17"/>
          <w:szCs w:val="17"/>
          <w:b w:val="1"/>
          <w:bCs w:val="1"/>
          <w:color w:val="auto"/>
        </w:rPr>
        <w:t>Distributions From Capital Surplus</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How Distributions From Capital Surplus Will Be Made</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will make distributions of available cash from capital surplus, if any, in the following manner:</w:t>
      </w:r>
    </w:p>
    <w:p>
      <w:pPr>
        <w:spacing w:after="0" w:line="205" w:lineRule="exact"/>
        <w:rPr>
          <w:sz w:val="20"/>
          <w:szCs w:val="20"/>
          <w:color w:val="auto"/>
        </w:rPr>
      </w:pPr>
    </w:p>
    <w:p>
      <w:pPr>
        <w:ind w:left="1040" w:right="320" w:hanging="263"/>
        <w:spacing w:after="0" w:line="272" w:lineRule="auto"/>
        <w:tabs>
          <w:tab w:leader="none" w:pos="10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98.0% to the common unitholders, pro rata, and 2.0% to our General Partner, until we distribute for each common unit an aggregate amount of available cash from capital surplus equal to the initial unit price of the common units issued in our initial public offering;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we will make distributions of available cash from capital surplus as if they were from operating surplus.</w:t>
      </w:r>
    </w:p>
    <w:p>
      <w:pPr>
        <w:spacing w:after="0" w:line="205" w:lineRule="exact"/>
        <w:rPr>
          <w:sz w:val="20"/>
          <w:szCs w:val="20"/>
          <w:color w:val="auto"/>
        </w:rPr>
      </w:pPr>
    </w:p>
    <w:p>
      <w:pPr>
        <w:ind w:right="620" w:firstLine="523"/>
        <w:spacing w:after="0" w:line="272" w:lineRule="auto"/>
        <w:rPr>
          <w:sz w:val="20"/>
          <w:szCs w:val="20"/>
          <w:color w:val="auto"/>
        </w:rPr>
      </w:pPr>
      <w:r>
        <w:rPr>
          <w:rFonts w:ascii="Times New Roman" w:cs="Times New Roman" w:eastAsia="Times New Roman" w:hAnsi="Times New Roman"/>
          <w:sz w:val="17"/>
          <w:szCs w:val="17"/>
          <w:color w:val="auto"/>
        </w:rPr>
        <w:t>The preceding paragraph is based on the assumption that our General Partner maintains its initial 2.0% general partner interest and that we do not issue additional classes of equity securities. As of the date of this Annual Report, our General Partner holds a 1.7% general partner interest.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Effect of a Distribution From Capital Surplus</w:t>
      </w:r>
    </w:p>
    <w:p>
      <w:pPr>
        <w:spacing w:after="0" w:line="209" w:lineRule="exact"/>
        <w:rPr>
          <w:sz w:val="20"/>
          <w:szCs w:val="20"/>
          <w:color w:val="auto"/>
        </w:rPr>
      </w:pPr>
    </w:p>
    <w:p>
      <w:pPr>
        <w:ind w:right="40" w:firstLine="523"/>
        <w:spacing w:after="0" w:line="252" w:lineRule="auto"/>
        <w:rPr>
          <w:sz w:val="20"/>
          <w:szCs w:val="20"/>
          <w:color w:val="auto"/>
        </w:rPr>
      </w:pPr>
      <w:r>
        <w:rPr>
          <w:rFonts w:ascii="Times New Roman" w:cs="Times New Roman" w:eastAsia="Times New Roman" w:hAnsi="Times New Roman"/>
          <w:sz w:val="17"/>
          <w:szCs w:val="17"/>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 However, any distribution of capital surplus before the minimum quarterly distribution is reduced to zero cannot be applied to the payment of the minimum quarterly distribution or any arrearages.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Adjustment to the Minimum Quarterly Distribution and Target Distribution Levels</w:t>
      </w:r>
    </w:p>
    <w:p>
      <w:pPr>
        <w:spacing w:after="0" w:line="209" w:lineRule="exact"/>
        <w:rPr>
          <w:sz w:val="20"/>
          <w:szCs w:val="20"/>
          <w:color w:val="auto"/>
        </w:rPr>
      </w:pPr>
    </w:p>
    <w:p>
      <w:pPr>
        <w:ind w:right="100" w:firstLine="523"/>
        <w:spacing w:after="0" w:line="272" w:lineRule="auto"/>
        <w:rPr>
          <w:sz w:val="20"/>
          <w:szCs w:val="20"/>
          <w:color w:val="auto"/>
        </w:rPr>
      </w:pPr>
      <w:r>
        <w:rPr>
          <w:rFonts w:ascii="Times New Roman" w:cs="Times New Roman" w:eastAsia="Times New Roman" w:hAnsi="Times New Roman"/>
          <w:sz w:val="17"/>
          <w:szCs w:val="17"/>
          <w:color w:val="auto"/>
        </w:rPr>
        <w:t>In addition to adjusting the minimum quarterly distribution and target distribution levels to reflect a distribution of capital surplus, if we combine our units into fewer units (as we did in connection with the DSS Transaction) or subdivide our units into a greater number of units, we will proportionately adjust:</w:t>
      </w:r>
    </w:p>
    <w:p>
      <w:pPr>
        <w:spacing w:after="0" w:line="158" w:lineRule="exact"/>
        <w:rPr>
          <w:sz w:val="20"/>
          <w:szCs w:val="20"/>
          <w:color w:val="auto"/>
        </w:rPr>
      </w:pPr>
    </w:p>
    <w:p>
      <w:pPr>
        <w:ind w:left="1040" w:hanging="263"/>
        <w:spacing w:after="0"/>
        <w:tabs>
          <w:tab w:leader="none" w:pos="10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quarterly distribution;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target distribution levels.</w:t>
      </w:r>
    </w:p>
    <w:p>
      <w:pPr>
        <w:spacing w:after="0" w:line="205" w:lineRule="exact"/>
        <w:rPr>
          <w:sz w:val="20"/>
          <w:szCs w:val="20"/>
          <w:color w:val="auto"/>
        </w:rPr>
      </w:pPr>
    </w:p>
    <w:p>
      <w:pPr>
        <w:ind w:right="80" w:firstLine="523"/>
        <w:spacing w:after="0" w:line="272" w:lineRule="auto"/>
        <w:rPr>
          <w:sz w:val="20"/>
          <w:szCs w:val="20"/>
          <w:color w:val="auto"/>
        </w:rPr>
      </w:pPr>
      <w:r>
        <w:rPr>
          <w:rFonts w:ascii="Times New Roman" w:cs="Times New Roman" w:eastAsia="Times New Roman" w:hAnsi="Times New Roman"/>
          <w:sz w:val="17"/>
          <w:szCs w:val="17"/>
          <w:color w:val="auto"/>
        </w:rPr>
        <w:t>For example, if a two-for-one split of the common and subordinated units should occur, the minimum quarterly distribution, the target distribution levels would be reduced to 50% of the initial level. We will not make any adjustment by reason of the issuance of additional units for cash or property.</w:t>
      </w:r>
    </w:p>
    <w:p>
      <w:pPr>
        <w:spacing w:after="0" w:line="158" w:lineRule="exact"/>
        <w:rPr>
          <w:sz w:val="20"/>
          <w:szCs w:val="20"/>
          <w:color w:val="auto"/>
        </w:rPr>
      </w:pPr>
    </w:p>
    <w:p>
      <w:pPr>
        <w:ind w:right="40" w:firstLine="523"/>
        <w:spacing w:after="0" w:line="251" w:lineRule="auto"/>
        <w:rPr>
          <w:sz w:val="20"/>
          <w:szCs w:val="20"/>
          <w:color w:val="auto"/>
        </w:rPr>
      </w:pPr>
      <w:r>
        <w:rPr>
          <w:rFonts w:ascii="Times New Roman" w:cs="Times New Roman" w:eastAsia="Times New Roman" w:hAnsi="Times New Roman"/>
          <w:sz w:val="17"/>
          <w:szCs w:val="17"/>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Distributions of Cash Upon Liquidation</w:t>
      </w:r>
    </w:p>
    <w:p>
      <w:pPr>
        <w:spacing w:after="0" w:line="209" w:lineRule="exact"/>
        <w:rPr>
          <w:sz w:val="20"/>
          <w:szCs w:val="20"/>
          <w:color w:val="auto"/>
        </w:rPr>
      </w:pPr>
    </w:p>
    <w:p>
      <w:pPr>
        <w:ind w:right="260" w:firstLine="523"/>
        <w:spacing w:after="0" w:line="272" w:lineRule="auto"/>
        <w:rPr>
          <w:sz w:val="20"/>
          <w:szCs w:val="20"/>
          <w:color w:val="auto"/>
        </w:rPr>
      </w:pPr>
      <w:r>
        <w:rPr>
          <w:rFonts w:ascii="Times New Roman" w:cs="Times New Roman" w:eastAsia="Times New Roman" w:hAnsi="Times New Roman"/>
          <w:sz w:val="17"/>
          <w:szCs w:val="17"/>
          <w:color w:val="auto"/>
        </w:rPr>
        <w:t>If we dissolve in accordance with the partnership agreement, we will sell or otherwise dispose of our assets in a process called liquidation. We will apply the proceeds of liquidation in the manner set forth below.</w:t>
      </w:r>
    </w:p>
    <w:p>
      <w:pPr>
        <w:spacing w:after="0" w:line="158" w:lineRule="exact"/>
        <w:rPr>
          <w:sz w:val="20"/>
          <w:szCs w:val="20"/>
          <w:color w:val="auto"/>
        </w:rPr>
      </w:pPr>
    </w:p>
    <w:p>
      <w:pPr>
        <w:ind w:right="120" w:firstLine="523"/>
        <w:spacing w:after="0" w:line="272" w:lineRule="auto"/>
        <w:rPr>
          <w:sz w:val="20"/>
          <w:szCs w:val="20"/>
          <w:color w:val="auto"/>
        </w:rPr>
      </w:pPr>
      <w:r>
        <w:rPr>
          <w:rFonts w:ascii="Times New Roman" w:cs="Times New Roman" w:eastAsia="Times New Roman" w:hAnsi="Times New Roman"/>
          <w:sz w:val="17"/>
          <w:szCs w:val="17"/>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58" w:lineRule="exact"/>
        <w:rPr>
          <w:sz w:val="20"/>
          <w:szCs w:val="20"/>
          <w:color w:val="auto"/>
        </w:rPr>
      </w:pPr>
    </w:p>
    <w:p>
      <w:pPr>
        <w:jc w:val="both"/>
        <w:ind w:left="1040" w:hanging="263"/>
        <w:spacing w:after="0" w:line="254" w:lineRule="auto"/>
        <w:tabs>
          <w:tab w:leader="none" w:pos="10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174" w:lineRule="exact"/>
        <w:rPr>
          <w:rFonts w:ascii="Times New Roman" w:cs="Times New Roman" w:eastAsia="Times New Roman" w:hAnsi="Times New Roman"/>
          <w:sz w:val="17"/>
          <w:szCs w:val="17"/>
          <w:color w:val="auto"/>
        </w:rPr>
      </w:pPr>
    </w:p>
    <w:p>
      <w:pPr>
        <w:ind w:left="1040" w:right="380" w:hanging="263"/>
        <w:spacing w:after="0" w:line="272" w:lineRule="auto"/>
        <w:tabs>
          <w:tab w:leader="none" w:pos="10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98.0% to the common unitholders, pro rata, and 2.0% to our General Partner, until we distribute for each outstanding common unit an amount equal to the current market price of our common units; and</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50.0% to all unitholders, pro rata, 48.0% to holders of incentive distribution rights and 2.0% to our General Partner.</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0" w:name="page81"/>
    <w:bookmarkEnd w:id="80"/>
    <w:p>
      <w:pPr>
        <w:ind w:right="100" w:firstLine="523"/>
        <w:spacing w:after="0" w:line="272" w:lineRule="auto"/>
        <w:rPr>
          <w:sz w:val="20"/>
          <w:szCs w:val="20"/>
          <w:color w:val="auto"/>
        </w:rPr>
      </w:pPr>
      <w:r>
        <w:rPr>
          <w:rFonts w:ascii="Times New Roman" w:cs="Times New Roman" w:eastAsia="Times New Roman" w:hAnsi="Times New Roman"/>
          <w:sz w:val="17"/>
          <w:szCs w:val="17"/>
          <w:color w:val="auto"/>
        </w:rPr>
        <w:t>If, as of the date three trading days prior to the announcement of the proposed liquidation, the current market price of our common units is equal to or less than the sum of:</w:t>
      </w:r>
    </w:p>
    <w:p>
      <w:pPr>
        <w:spacing w:after="0" w:line="158" w:lineRule="exact"/>
        <w:rPr>
          <w:sz w:val="20"/>
          <w:szCs w:val="20"/>
          <w:color w:val="auto"/>
        </w:rPr>
      </w:pPr>
    </w:p>
    <w:p>
      <w:pPr>
        <w:jc w:val="both"/>
        <w:ind w:left="1040" w:hanging="263"/>
        <w:spacing w:after="0" w:line="254" w:lineRule="auto"/>
        <w:tabs>
          <w:tab w:leader="none" w:pos="10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174"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 and</w:t>
      </w:r>
    </w:p>
    <w:p>
      <w:pPr>
        <w:spacing w:after="0" w:line="16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50.0% to all unitholders, pro rata, 48.0% to holders of incentive distribution rights and 2.0% to our General Partner.</w:t>
      </w:r>
    </w:p>
    <w:p>
      <w:pPr>
        <w:spacing w:after="0" w:line="20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this Annual Report, our General Partner holds a 1.7% general partner interest.</w:t>
      </w:r>
    </w:p>
    <w:p>
      <w:pPr>
        <w:spacing w:after="0" w:line="165" w:lineRule="exact"/>
        <w:rPr>
          <w:sz w:val="20"/>
          <w:szCs w:val="20"/>
          <w:color w:val="auto"/>
        </w:rPr>
      </w:pPr>
    </w:p>
    <w:p>
      <w:pPr>
        <w:ind w:left="1060" w:hanging="534"/>
        <w:spacing w:after="0"/>
        <w:tabs>
          <w:tab w:leader="none" w:pos="106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Changes</w:t>
      </w:r>
    </w:p>
    <w:p>
      <w:pPr>
        <w:spacing w:after="0" w:line="209" w:lineRule="exact"/>
        <w:rPr>
          <w:sz w:val="20"/>
          <w:szCs w:val="20"/>
          <w:color w:val="auto"/>
        </w:rPr>
      </w:pPr>
    </w:p>
    <w:p>
      <w:pPr>
        <w:ind w:firstLine="523"/>
        <w:spacing w:after="0" w:line="272" w:lineRule="auto"/>
        <w:rPr>
          <w:sz w:val="20"/>
          <w:szCs w:val="20"/>
          <w:color w:val="auto"/>
        </w:rPr>
      </w:pPr>
      <w:r>
        <w:rPr>
          <w:rFonts w:ascii="Times New Roman" w:cs="Times New Roman" w:eastAsia="Times New Roman" w:hAnsi="Times New Roman"/>
          <w:sz w:val="17"/>
          <w:szCs w:val="17"/>
          <w:color w:val="auto"/>
        </w:rPr>
        <w:t>Other than as described in “Item 4. Information on the Partnership—A. History and Development of the Partnership—Recent Developments” and in Note 16 (Subsequent Events) to our Financial Statements and below, no significant changes have occurred since the date of our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common units started trading on the Nasdaq Global Select Market under the symbol “CPLP” on March 30, 2007.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5" w:lineRule="exact"/>
        <w:rPr>
          <w:sz w:val="20"/>
          <w:szCs w:val="20"/>
          <w:color w:val="auto"/>
        </w:rPr>
      </w:pPr>
    </w:p>
    <w:p>
      <w:pPr>
        <w:ind w:left="1060" w:hanging="534"/>
        <w:spacing w:after="0"/>
        <w:tabs>
          <w:tab w:leader="none" w:pos="106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Memorandum and Articles of Association</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We were organized on January 16, 2007 and have perpetual existence. Our purpose under our partnership agreement is to engage in any business activities that may lawfully be engaged in by a limited partnership pursuant to the MILPA.</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General Partner has delegated to our board of directors the authority to oversee and direct our operations, management and policies on an exclusive basis.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General Partner, subject to the direction and supervision of our board of directors, manages our business and affairs and carries out our purpose.</w:t>
      </w:r>
    </w:p>
    <w:p>
      <w:pPr>
        <w:spacing w:after="0" w:line="18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Please refer to Exhibit 2.1 (Description of Securities registered under Section 12 of the Exchange Act) to this Annual Report for a summary of the material provisions of our partnership agreement. The partnership agreement and the amendments thereto are filed as Exhibit I to our Report on Form 6-K dated February 24, 2010, as Exhibit I to our Report on Form 6-K dated September 30, 2011, as Exhibit II to our Report on Form 6-K/A dated May 23, 2012, as Exhibit II to our Report on Form 6-K dated March 21, 2013 and as Exhibit A to Exhibit I to our Report on Form 6-K dated August 26, 2014. We will provide prospective investors with a copy of our limited partnership agreement and any amendments thereto upon request at no charge.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summarize the following provisions of our partnership agreement elsewhere in this Annual Report:</w:t>
      </w:r>
    </w:p>
    <w:p>
      <w:pPr>
        <w:spacing w:after="0" w:line="205" w:lineRule="exact"/>
        <w:rPr>
          <w:sz w:val="20"/>
          <w:szCs w:val="20"/>
          <w:color w:val="auto"/>
        </w:rPr>
      </w:pPr>
    </w:p>
    <w:p>
      <w:pPr>
        <w:ind w:left="1040" w:right="80" w:hanging="263"/>
        <w:spacing w:after="0" w:line="272" w:lineRule="auto"/>
        <w:tabs>
          <w:tab w:leader="none" w:pos="10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distributions of available cash, please read “Item 8. Financial Information—A. Consolidated Statements and Other Financial Information —How We Make Cash Distributions,” and</w:t>
      </w:r>
    </w:p>
    <w:p>
      <w:pPr>
        <w:spacing w:after="0" w:line="158" w:lineRule="exact"/>
        <w:rPr>
          <w:rFonts w:ascii="Times New Roman" w:cs="Times New Roman" w:eastAsia="Times New Roman" w:hAnsi="Times New Roman"/>
          <w:sz w:val="17"/>
          <w:szCs w:val="17"/>
          <w:color w:val="auto"/>
        </w:rPr>
      </w:pPr>
    </w:p>
    <w:p>
      <w:pPr>
        <w:ind w:left="1040" w:right="80" w:hanging="263"/>
        <w:spacing w:after="0" w:line="272" w:lineRule="auto"/>
        <w:tabs>
          <w:tab w:leader="none" w:pos="10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the fiduciary duties of our General Partner and our directors, please read “Item 7. Major Unitholders and Related Party Transactions—B. Related-Party Transactions —Conflicts of Interest and Fiduciary Duties.”.</w:t>
      </w:r>
    </w:p>
    <w:p>
      <w:pPr>
        <w:spacing w:after="0" w:line="154" w:lineRule="exact"/>
        <w:rPr>
          <w:rFonts w:ascii="Times New Roman" w:cs="Times New Roman" w:eastAsia="Times New Roman" w:hAnsi="Times New Roman"/>
          <w:sz w:val="17"/>
          <w:szCs w:val="17"/>
          <w:color w:val="auto"/>
        </w:rPr>
      </w:pPr>
    </w:p>
    <w:p>
      <w:pPr>
        <w:ind w:left="1060" w:hanging="534"/>
        <w:spacing w:after="0"/>
        <w:tabs>
          <w:tab w:leader="none" w:pos="106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Contracts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For a discussion of material contracts, other than contracts entered into in the ordinary course of business, to which we or any of our subsidiaries are a party, for the two years immediately preceding the date of this Annual Report please see “Item 4. Information on the Partnership—A. History and Development of the Partnership” and “Item 5. Operating and Financial Review and Prospects—B. Liquidity and Capital Resources—Borrowings (Financing Arrangements).” Please also refer to “Item 7. Major Unitholders and Related Party Transactions—B. Related-Party Transactions” for further detail on the transactions entered into with related parties.</w:t>
      </w:r>
    </w:p>
    <w:p>
      <w:pPr>
        <w:spacing w:after="0" w:line="172" w:lineRule="exact"/>
        <w:rPr>
          <w:sz w:val="20"/>
          <w:szCs w:val="20"/>
          <w:color w:val="auto"/>
        </w:rPr>
      </w:pPr>
    </w:p>
    <w:p>
      <w:pPr>
        <w:ind w:left="1060" w:hanging="534"/>
        <w:spacing w:after="0"/>
        <w:tabs>
          <w:tab w:leader="none" w:pos="106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Exchange Controls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77</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ind w:left="1060" w:hanging="534"/>
        <w:spacing w:after="0"/>
        <w:tabs>
          <w:tab w:leader="none" w:pos="106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Marshall Islands Taxation</w:t>
      </w:r>
    </w:p>
    <w:p>
      <w:pPr>
        <w:spacing w:after="0" w:line="209" w:lineRule="exact"/>
        <w:rPr>
          <w:sz w:val="20"/>
          <w:szCs w:val="20"/>
          <w:color w:val="auto"/>
        </w:rPr>
      </w:pPr>
    </w:p>
    <w:p>
      <w:pPr>
        <w:jc w:val="both"/>
        <w:ind w:firstLine="523"/>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the material Marshall Islands tax consequences of our activities to unitholders who are not citizens of and do not reside in, maintain offices in or carry on business or conduct transactions or operations in the Marshall Islands (“non-resident holders”). Because we, our subsidiaries and our controlled affiliates do not, and assuming that we and our subsidiaries will not carry on business or conduct transactions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the Partnership</w:t>
      </w:r>
    </w:p>
    <w:p>
      <w:pPr>
        <w:spacing w:after="0" w:line="209"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6"/>
          <w:szCs w:val="16"/>
          <w:color w:val="auto"/>
        </w:rPr>
        <w:t>Because we, our subsidiaries and our controlled affiliates do not, and we and our subsidiaries will not carry on business or conduct transactions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 standing from, or certified copies of documents filed with, the Marshall Islands registrar, (v) compliance, or penalties for noncompliance, with Marshall Islands law concerning books and records and economic substance regulations and (vi) vessel ownership, such as tonnage tax. As a result, distributions by our subsidiaries and our controlled affiliates to us will not be subject to Marshall Islands taxation.</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4"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7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No ruling has been or will be requested from the IRS regarding any matter affecting us or our common unitholders. The statements made here may not be sustained by a court if contested by the IRS.</w:t>
      </w:r>
    </w:p>
    <w:p>
      <w:pPr>
        <w:spacing w:after="0" w:line="158"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Election to be Taxed as a Corporation</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have elected to be taxed as a corporation for U.S. federal income tax purposes. As such, among other consequences, U.S. Holders (as defined below) will, subject to the discussion of certain rules relating to PFICs below (please see “—U.S. Federal Income Taxation of U.S. Holders— 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Operating Income</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We expect that substantially all of our gross income will be attributable to the transportation of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4"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6"/>
          <w:szCs w:val="16"/>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260"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2" w:name="page83"/>
    <w:bookmarkEnd w:id="82"/>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The Section 883 Exemption</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will qualify for the Section 883 Exemption if, among other matters, we meet the following three requirements:</w:t>
      </w:r>
    </w:p>
    <w:p>
      <w:pPr>
        <w:spacing w:after="0" w:line="205" w:lineRule="exact"/>
        <w:rPr>
          <w:sz w:val="20"/>
          <w:szCs w:val="20"/>
          <w:color w:val="auto"/>
        </w:rPr>
      </w:pPr>
    </w:p>
    <w:p>
      <w:pPr>
        <w:ind w:left="1040" w:right="100" w:hanging="263"/>
        <w:spacing w:after="0" w:line="181" w:lineRule="auto"/>
        <w:tabs>
          <w:tab w:leader="none" w:pos="1040" w:val="left"/>
        </w:tabs>
        <w:numPr>
          <w:ilvl w:val="0"/>
          <w:numId w:val="10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We are organized in a jurisdiction outside the United States that grants an equivalent exemption from tax to corporations organized in the United States (an “Equivalent Exemption”);</w:t>
      </w:r>
    </w:p>
    <w:p>
      <w:pPr>
        <w:spacing w:after="0" w:line="184" w:lineRule="exact"/>
        <w:rPr>
          <w:rFonts w:ascii="Times New Roman" w:cs="Times New Roman" w:eastAsia="Times New Roman" w:hAnsi="Times New Roman"/>
          <w:sz w:val="32"/>
          <w:szCs w:val="32"/>
          <w:color w:val="auto"/>
          <w:vertAlign w:val="subscript"/>
        </w:rPr>
      </w:pPr>
    </w:p>
    <w:p>
      <w:pPr>
        <w:ind w:left="1040" w:hanging="263"/>
        <w:spacing w:after="0"/>
        <w:tabs>
          <w:tab w:leader="none" w:pos="10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satisfy the “Publicly Traded Test” (as described below); and</w:t>
      </w:r>
    </w:p>
    <w:p>
      <w:pPr>
        <w:spacing w:after="0" w:line="205"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meet certain substantiation, reporting and other requirements.</w:t>
      </w:r>
    </w:p>
    <w:p>
      <w:pPr>
        <w:spacing w:after="0" w:line="205"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provides,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84"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w:t>
      </w:r>
    </w:p>
    <w:p>
      <w:pPr>
        <w:spacing w:after="0" w:line="1" w:lineRule="exact"/>
        <w:rPr>
          <w:sz w:val="20"/>
          <w:szCs w:val="20"/>
          <w:color w:val="auto"/>
        </w:rPr>
      </w:pPr>
    </w:p>
    <w:p>
      <w:pPr>
        <w:jc w:val="both"/>
        <w:spacing w:after="0" w:line="248" w:lineRule="auto"/>
        <w:tabs>
          <w:tab w:leader="none" w:pos="27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78"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w:t>
      </w:r>
    </w:p>
    <w:p>
      <w:pPr>
        <w:spacing w:after="0" w:line="165"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6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74"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281"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79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Thus, although the matter is not free from doubt, we believe that we will satisfy the Publicly Traded Test. Should any of the facts described above cease to be correct, our ability to satisfy the test will be compromised.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Operating Income in the Absence of the Section 883 Exemption</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7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Any income we earn that is treated as Effectively Connected Income would be subject to U.S. federal corporate income tax (the highest statutory rate is currently 21%) on a net income basis. In addition, a 30% branch profits tax imposed under Section 884 of the Code also would apply to such income, and a branch interest tax could be imposed on certain interest paid or deemed paid by us.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Gain on the Sale of a Vessel</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The 4% Gross Basis Tax</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the Section 883 Exemption does not apply and the net income tax does not apply, we would be subject to a 4% U.S. federal income tax on the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portion of our U.S. Source International Transportation Income, without the benefit of deductions.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U.S. Federal Income Taxation of U.S. Holders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w:t>
      </w:r>
    </w:p>
    <w:p>
      <w:pPr>
        <w:spacing w:after="0" w:line="176"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Dividends paid with respect to our common units generally will be treated as “passive” income from sources outside the United States for purposes of computing allowable foreign tax credits for U.S. federal income tax purposes.</w:t>
      </w:r>
    </w:p>
    <w:p>
      <w:pPr>
        <w:spacing w:after="0" w:line="158"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Dividends paid on our common units to a U.S. Holder who is an individual, trust or estate (in all cases,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281"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80</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ind w:left="540"/>
        <w:spacing w:after="0"/>
        <w:rPr>
          <w:sz w:val="20"/>
          <w:szCs w:val="20"/>
          <w:color w:val="auto"/>
        </w:rPr>
      </w:pPr>
      <w:r>
        <w:rPr>
          <w:rFonts w:ascii="Times New Roman" w:cs="Times New Roman" w:eastAsia="Times New Roman" w:hAnsi="Times New Roman"/>
          <w:sz w:val="17"/>
          <w:szCs w:val="17"/>
          <w:b w:val="1"/>
          <w:bCs w:val="1"/>
          <w:color w:val="auto"/>
        </w:rPr>
        <w:t>Sale, Exchange or other Disposition of Common Units</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PFIC Status and Significant Tax Consequences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169" w:lineRule="exact"/>
        <w:rPr>
          <w:sz w:val="20"/>
          <w:szCs w:val="20"/>
          <w:color w:val="auto"/>
        </w:rPr>
      </w:pPr>
    </w:p>
    <w:p>
      <w:pPr>
        <w:ind w:left="1040" w:right="140" w:hanging="263"/>
        <w:spacing w:after="0" w:line="272" w:lineRule="auto"/>
        <w:tabs>
          <w:tab w:leader="none" w:pos="10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58" w:lineRule="exact"/>
        <w:rPr>
          <w:rFonts w:ascii="Times New Roman" w:cs="Times New Roman" w:eastAsia="Times New Roman" w:hAnsi="Times New Roman"/>
          <w:sz w:val="17"/>
          <w:szCs w:val="17"/>
          <w:color w:val="auto"/>
        </w:rPr>
      </w:pPr>
    </w:p>
    <w:p>
      <w:pPr>
        <w:ind w:left="1040" w:right="180" w:hanging="263"/>
        <w:spacing w:after="0" w:line="272" w:lineRule="auto"/>
        <w:tabs>
          <w:tab w:leader="none" w:pos="10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average value of the assets held by us (including the assets of our vessel-owning subsidiaries) during such taxable year produce, or are held for the production of, passive income.</w:t>
      </w:r>
    </w:p>
    <w:p>
      <w:pPr>
        <w:spacing w:after="0" w:line="158"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81"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176"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6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176"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If we are a PFIC and, at any time, have a non-U.S. subsidiary that is classified as a PFIC, a U.S. Holder generally would be deemed to own a portion of the shares of such lower-tier PFIC, and, unless it makes a timely QEF election with respect to such subsidiary, generally could incur liability for the deferred tax and interest charge described below if we (or our subsidiary) receive a distribution from, or dispose of all or part of our interest in, the lower-tier PFIC or if the U.S. Holder otherwise were deemed to have disposed of an interest in the lower-tier PFIC. The mark-to-market election described below would not apply to the U.S. Holder’s indirect interest in any such lower tier PFICs.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U.S. Holders Making a Timely QEF Election</w:t>
      </w:r>
    </w:p>
    <w:p>
      <w:pPr>
        <w:spacing w:after="0" w:line="209" w:lineRule="exact"/>
        <w:rPr>
          <w:sz w:val="20"/>
          <w:szCs w:val="20"/>
          <w:color w:val="auto"/>
        </w:rPr>
      </w:pPr>
    </w:p>
    <w:p>
      <w:pPr>
        <w:jc w:val="both"/>
        <w:ind w:firstLine="523"/>
        <w:spacing w:after="0" w:line="248" w:lineRule="auto"/>
        <w:rPr>
          <w:sz w:val="20"/>
          <w:szCs w:val="20"/>
          <w:color w:val="auto"/>
        </w:rPr>
      </w:pPr>
      <w:r>
        <w:rPr>
          <w:rFonts w:ascii="Times New Roman" w:cs="Times New Roman" w:eastAsia="Times New Roman" w:hAnsi="Times New Roman"/>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we are a PFIC and in turn have subsidiaries that are PFICs, a U.S. Holder would have to make a separate QEF election with respect to each such subsidiary PFIC to avoid being subject to the deferred tax interest charges described below in respect of such subsidiary PFICs. If contrary to our expectations, we determine that we are treated as a PFIC for any taxable year, we will attempt to provide each U.S. Holder with all necessary information in order to make the QEF elections described above.</w:t>
      </w:r>
    </w:p>
    <w:p>
      <w:pPr>
        <w:spacing w:after="0" w:line="285"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5" w:name="page86"/>
    <w:bookmarkEnd w:id="85"/>
    <w:p>
      <w:pPr>
        <w:ind w:left="540"/>
        <w:spacing w:after="0"/>
        <w:rPr>
          <w:sz w:val="20"/>
          <w:szCs w:val="20"/>
          <w:color w:val="auto"/>
        </w:rPr>
      </w:pPr>
      <w:r>
        <w:rPr>
          <w:rFonts w:ascii="Times New Roman" w:cs="Times New Roman" w:eastAsia="Times New Roman" w:hAnsi="Times New Roman"/>
          <w:sz w:val="17"/>
          <w:szCs w:val="17"/>
          <w:b w:val="1"/>
          <w:bCs w:val="1"/>
          <w:color w:val="auto"/>
        </w:rPr>
        <w:t>Taxation of U.S. Holders Making a “Mark-to-Market” Election</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Taxation of U.S. Holders not making a timely QEF or mark-to-market election</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other than the taxable year in which the Non-Electing Holder’s holding period in the common units begins in excess of 125% of the average annual distributions received by the Non-Electing Holder in the three preceding taxable years, or, if shorter, the Non-Electing Holder’s holding period for the common units that preceded the current taxable year), and (2) any gain realized on the sale, exchange or other disposition of our common units. Under these special rules:</w:t>
      </w:r>
    </w:p>
    <w:p>
      <w:pPr>
        <w:spacing w:after="0" w:line="176" w:lineRule="exact"/>
        <w:rPr>
          <w:sz w:val="20"/>
          <w:szCs w:val="20"/>
          <w:color w:val="auto"/>
        </w:rPr>
      </w:pPr>
    </w:p>
    <w:p>
      <w:pPr>
        <w:ind w:left="1040" w:hanging="263"/>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gain would be allocated ratably over the Non-Electing Holder’s aggregate holding period for the common units;</w:t>
      </w:r>
    </w:p>
    <w:p>
      <w:pPr>
        <w:spacing w:after="0" w:line="205" w:lineRule="exact"/>
        <w:rPr>
          <w:rFonts w:ascii="Times New Roman" w:cs="Times New Roman" w:eastAsia="Times New Roman" w:hAnsi="Times New Roman"/>
          <w:sz w:val="17"/>
          <w:szCs w:val="17"/>
          <w:color w:val="auto"/>
        </w:rPr>
      </w:pPr>
    </w:p>
    <w:p>
      <w:pPr>
        <w:ind w:left="1040" w:right="200" w:hanging="263"/>
        <w:spacing w:after="0" w:line="272" w:lineRule="auto"/>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year prior to the year we were first treated as a PFIC with respect to the Non-Electing Holder would be taxed as ordinary income; and</w:t>
      </w:r>
    </w:p>
    <w:p>
      <w:pPr>
        <w:spacing w:after="0" w:line="158" w:lineRule="exact"/>
        <w:rPr>
          <w:rFonts w:ascii="Times New Roman" w:cs="Times New Roman" w:eastAsia="Times New Roman" w:hAnsi="Times New Roman"/>
          <w:sz w:val="17"/>
          <w:szCs w:val="17"/>
          <w:color w:val="auto"/>
        </w:rPr>
      </w:pPr>
    </w:p>
    <w:p>
      <w:pPr>
        <w:jc w:val="both"/>
        <w:ind w:left="1040" w:hanging="263"/>
        <w:spacing w:after="0" w:line="259" w:lineRule="auto"/>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6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Shareholder Reporting</w:t>
      </w:r>
    </w:p>
    <w:p>
      <w:pPr>
        <w:spacing w:after="0" w:line="20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U.S. Federal Income Taxation of Non-U.S. Holders</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A beneficial owner of our common units (other than a partnership, including any entity or arrangement treated as a partnership for U.S. federal income tax purposes) that is not a U.S. Holder is a Non-U.S. Holder.</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09"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17"/>
          <w:szCs w:val="17"/>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Disposition of Common Units</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6" w:name="page87"/>
    <w:bookmarkEnd w:id="86"/>
    <w:p>
      <w:pPr>
        <w:ind w:left="540"/>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 general, payments of distributions on our common units or the gross proceeds of a disposition of our common units made within the United States to a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Individual Holder will be subject to information reporting requirements. These payments also may be subject to backup withholding, if the U.S. Individual Holder:</w:t>
      </w:r>
    </w:p>
    <w:p>
      <w:pPr>
        <w:spacing w:after="0" w:line="189" w:lineRule="exact"/>
        <w:rPr>
          <w:sz w:val="20"/>
          <w:szCs w:val="20"/>
          <w:color w:val="auto"/>
        </w:rPr>
      </w:pPr>
    </w:p>
    <w:p>
      <w:pPr>
        <w:ind w:left="1040" w:hanging="263"/>
        <w:spacing w:after="0"/>
        <w:tabs>
          <w:tab w:leader="none" w:pos="10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provide an accurate taxpayer identification number;</w:t>
      </w:r>
    </w:p>
    <w:p>
      <w:pPr>
        <w:spacing w:after="0" w:line="205" w:lineRule="exact"/>
        <w:rPr>
          <w:rFonts w:ascii="Times New Roman" w:cs="Times New Roman" w:eastAsia="Times New Roman" w:hAnsi="Times New Roman"/>
          <w:sz w:val="17"/>
          <w:szCs w:val="17"/>
          <w:color w:val="auto"/>
        </w:rPr>
      </w:pPr>
    </w:p>
    <w:p>
      <w:pPr>
        <w:ind w:left="1040" w:right="480" w:hanging="263"/>
        <w:spacing w:after="0" w:line="272" w:lineRule="auto"/>
        <w:tabs>
          <w:tab w:leader="none" w:pos="10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distributions, is notified by the IRS that he has failed to report all interest or corporate distributions required to be shown on its U.S. federal income tax returns; or</w:t>
      </w:r>
    </w:p>
    <w:p>
      <w:pPr>
        <w:spacing w:after="0" w:line="158" w:lineRule="exact"/>
        <w:rPr>
          <w:rFonts w:ascii="Times New Roman" w:cs="Times New Roman" w:eastAsia="Times New Roman" w:hAnsi="Times New Roman"/>
          <w:sz w:val="17"/>
          <w:szCs w:val="17"/>
          <w:color w:val="auto"/>
        </w:rPr>
      </w:pPr>
    </w:p>
    <w:p>
      <w:pPr>
        <w:ind w:left="1040" w:hanging="263"/>
        <w:spacing w:after="0"/>
        <w:tabs>
          <w:tab w:leader="none" w:pos="10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certain circumstances, fails to comply with applicable certification requirements.</w:t>
      </w:r>
    </w:p>
    <w:p>
      <w:pPr>
        <w:spacing w:after="0" w:line="205"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Non-U.S. Holders may be required to establish their exemption from information reporting and backup withholding on payments within the United States by certifying their status on IRS Form W-8BEN, W-8BEN-E, W-8ECI or W-8IMY, as applicable.</w:t>
      </w:r>
    </w:p>
    <w:p>
      <w:pPr>
        <w:spacing w:after="0" w:line="158"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Payment of the gross proceeds of a disposition of our common units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Backup withholding is not an additional tax. Rather, a common unitholder generally may obtain a credit for any amount withheld against his liability for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income tax (and a refund of any amounts withheld in excess of such liability) by filing a return with the IRS.</w:t>
      </w:r>
    </w:p>
    <w:p>
      <w:pPr>
        <w:spacing w:after="0" w:line="185" w:lineRule="exact"/>
        <w:rPr>
          <w:sz w:val="20"/>
          <w:szCs w:val="20"/>
          <w:color w:val="auto"/>
        </w:rPr>
      </w:pPr>
    </w:p>
    <w:p>
      <w:pPr>
        <w:ind w:left="1060" w:hanging="534"/>
        <w:spacing w:after="0"/>
        <w:tabs>
          <w:tab w:leader="none" w:pos="106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 and Paying Agents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Statements by Experts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Documents on Display</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as applied to foreign private issuers. The SEC maintains an internet website at www.sec.gov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16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154" w:lineRule="exact"/>
        <w:rPr>
          <w:sz w:val="20"/>
          <w:szCs w:val="20"/>
          <w:color w:val="auto"/>
        </w:rPr>
      </w:pPr>
    </w:p>
    <w:p>
      <w:pPr>
        <w:ind w:left="1060" w:hanging="534"/>
        <w:spacing w:after="0"/>
        <w:tabs>
          <w:tab w:leader="none" w:pos="106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Subsidiary Information</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Report to Security Holders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Our Risk Management Policy</w:t>
      </w:r>
    </w:p>
    <w:p>
      <w:pPr>
        <w:spacing w:after="0" w:line="209" w:lineRule="exact"/>
        <w:rPr>
          <w:sz w:val="20"/>
          <w:szCs w:val="20"/>
          <w:color w:val="auto"/>
        </w:rPr>
      </w:pPr>
    </w:p>
    <w:p>
      <w:pPr>
        <w:jc w:val="both"/>
        <w:ind w:firstLine="523"/>
        <w:spacing w:after="0" w:line="272" w:lineRule="auto"/>
        <w:rPr>
          <w:sz w:val="20"/>
          <w:szCs w:val="20"/>
          <w:color w:val="auto"/>
        </w:rPr>
      </w:pPr>
      <w:r>
        <w:rPr>
          <w:rFonts w:ascii="Times New Roman" w:cs="Times New Roman" w:eastAsia="Times New Roman" w:hAnsi="Times New Roman"/>
          <w:sz w:val="17"/>
          <w:szCs w:val="17"/>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In connection with the issuance of our Euro-denominated senior unsecured bonds in October 2021 and July 2022, we entered into certain cross-currency swap agreements to manage the related foreign currency exchange risk by effectively converting the fixed-rate, Euro-denominated Bonds, including the semi-annual interest payments for the duration of the bonds to fixed-rate U.S. Dollar-denominated debt. The economic effect of the swap agreements is to eliminate the uncertainty of the cash flows in U.S. Dollars associated with the issuance of the Euro-denominated Bonds. See “Item 5. Operating and Financial Review and Prospects—B. Liquidity and Capital Resources— Borrowings (Financing Arrangements)—Senior Unsecured Bonds.”.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We do not have a material currency exposure risk in connection to our operating activities. We generate all of our revenues in U.S. Dollars and incur less than 10% of our expenses in currencies other than U.S. Dollars. For accounting purposes, expenses incurred in currencies other than the U.S. Dollars are translated into U.S. Dollars at the exchange rate prevailing on the date of each transaction. As of December 31, 2022, less than 10% of our liabilities were denominated in currencies other than U.S. Dollars (mainly in Euros). These liabilities were translated into U.S. Dollars at the exchange rate prevailing on December 31, 2022. We have not hedged currency exchange risks and our operating results could be adversely affected as a result.</w:t>
      </w:r>
    </w:p>
    <w:p>
      <w:pPr>
        <w:spacing w:after="0" w:line="27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799" w:gutter="0" w:footer="0" w:header="0"/>
        </w:sectPr>
      </w:pPr>
    </w:p>
    <w:bookmarkStart w:id="87" w:name="page88"/>
    <w:bookmarkEnd w:id="87"/>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The international shipping industry is capital intensive, requiring significant amounts of investment, a significant portion of which is provided in the form of long-term debt. Our existing financing arrangements contain interest rates that fluctuate based on changes in base rates. Therefore, we are exposed to the risk that our interest expense may increase if interest rates rise. Recently, in response to inflationary pressures, central banks have begun to increase interest rates, which translates into increases in base interest rates that result in an increase to our interest expense on our existing floating rate debt and also result in increases to the interests rates available to us on new debt financing for our operations. See “Item 3. Key Information—D. Risk Factors —Risks Related to Financing Activities—A significant rise in interests rates could result in increased interest expense.” In addition, the phase-out of LIBOR may adversely affect interest rates. See “Item 3. Key Information—D. Risk Factors —Risks Related to Financing Activities—The phase-out of the London Interbank Offered Rate (LIBOR), or the replacement of LIBOR with a different benchmark rate, may adversely affect interest rates and our cost of capital.”</w:t>
      </w:r>
    </w:p>
    <w:p>
      <w:pPr>
        <w:spacing w:after="0" w:line="181"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Currently we have, and during 2022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$9.3 million, $4.6 million and $3.7 million for the years ended December 31, 2022, 2021 and 2020 respectively, assuming all other variables had remained constant.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As a result of the heightened inflation experienced in 2022, we have incurred increased operating, voyage and administrative costs including higher costs for dry-docking. As inflation becomes a significant factor in the global economy, inflationary pressures are expected to result in increased operating, voyage and financing costs. For example, all our management agreements provide for an annual adjustment of management fees according to Consumer Price Index (CPI).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306"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 material modifications to the rights of security 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05" w:lineRule="exact"/>
        <w:rPr>
          <w:sz w:val="20"/>
          <w:szCs w:val="20"/>
          <w:color w:val="auto"/>
        </w:rPr>
      </w:pPr>
    </w:p>
    <w:p>
      <w:pPr>
        <w:ind w:left="1060" w:hanging="534"/>
        <w:spacing w:after="0"/>
        <w:tabs>
          <w:tab w:leader="none" w:pos="106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As of December 31, 2022, our management (with the participation of the chief executive officer and chief financial officer of our General Partner)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79" w:lineRule="exact"/>
        <w:rPr>
          <w:sz w:val="20"/>
          <w:szCs w:val="20"/>
          <w:color w:val="auto"/>
        </w:rPr>
      </w:pPr>
    </w:p>
    <w:p>
      <w:pPr>
        <w:jc w:val="both"/>
        <w:ind w:firstLine="523"/>
        <w:spacing w:after="0" w:line="251" w:lineRule="auto"/>
        <w:rPr>
          <w:sz w:val="20"/>
          <w:szCs w:val="20"/>
          <w:color w:val="auto"/>
        </w:rPr>
      </w:pPr>
      <w:r>
        <w:rPr>
          <w:rFonts w:ascii="Times New Roman" w:cs="Times New Roman" w:eastAsia="Times New Roman" w:hAnsi="Times New Roman"/>
          <w:sz w:val="17"/>
          <w:szCs w:val="17"/>
          <w:color w:val="auto"/>
        </w:rPr>
        <w:t>Based on this evaluation, the chief executive officer and chief financial officer of our General Partner concluded that, as of December 31, 2022,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172" w:lineRule="exact"/>
        <w:rPr>
          <w:sz w:val="20"/>
          <w:szCs w:val="20"/>
          <w:color w:val="auto"/>
        </w:rPr>
      </w:pPr>
    </w:p>
    <w:p>
      <w:pPr>
        <w:ind w:left="1060" w:hanging="534"/>
        <w:spacing w:after="0"/>
        <w:tabs>
          <w:tab w:leader="none" w:pos="106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09"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69" w:lineRule="exact"/>
        <w:rPr>
          <w:sz w:val="20"/>
          <w:szCs w:val="20"/>
          <w:color w:val="auto"/>
        </w:rPr>
      </w:pPr>
    </w:p>
    <w:p>
      <w:pPr>
        <w:jc w:val="both"/>
        <w:ind w:firstLine="523"/>
        <w:spacing w:after="0" w:line="252" w:lineRule="auto"/>
        <w:rPr>
          <w:sz w:val="20"/>
          <w:szCs w:val="20"/>
          <w:color w:val="auto"/>
        </w:rPr>
      </w:pPr>
      <w:r>
        <w:rPr>
          <w:rFonts w:ascii="Times New Roman" w:cs="Times New Roman" w:eastAsia="Times New Roman" w:hAnsi="Times New Roman"/>
          <w:sz w:val="17"/>
          <w:szCs w:val="17"/>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76"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2022.</w:t>
      </w:r>
    </w:p>
    <w:p>
      <w:pPr>
        <w:spacing w:after="0" w:line="174"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74" w:lineRule="exact"/>
        <w:rPr>
          <w:sz w:val="20"/>
          <w:szCs w:val="20"/>
          <w:color w:val="auto"/>
        </w:rPr>
      </w:pPr>
    </w:p>
    <w:p>
      <w:pPr>
        <w:jc w:val="both"/>
        <w:ind w:firstLine="523"/>
        <w:spacing w:after="0" w:line="259" w:lineRule="auto"/>
        <w:rPr>
          <w:sz w:val="20"/>
          <w:szCs w:val="20"/>
          <w:color w:val="auto"/>
        </w:rPr>
      </w:pPr>
      <w:r>
        <w:rPr>
          <w:rFonts w:ascii="Times New Roman" w:cs="Times New Roman" w:eastAsia="Times New Roman" w:hAnsi="Times New Roman"/>
          <w:sz w:val="17"/>
          <w:szCs w:val="17"/>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269"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9" w:name="page90"/>
    <w:bookmarkEnd w:id="89"/>
    <w:p>
      <w:pPr>
        <w:ind w:left="1060" w:hanging="534"/>
        <w:spacing w:after="0"/>
        <w:tabs>
          <w:tab w:leader="none" w:pos="106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Capital Product Partners L.P.</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Marshall Islands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57"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We have audited the internal control over financial reporting of Capital Product Partners L.P. and subsidiaries (the “Partnership”) as of December 31, 2022, based on criteria established in Internal Control — Integrated Framework (2013) issued by the Committee of Sponsoring Organizations of the Treadway Commission (COSO). In our opinion, the Partnership maintained, in all material respects, effective internal control over financial reporting as of December 31, 2022, based on criteria established in Internal Control — Integrated Framework (2013) issued by COSO.</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Partnership and our report dated April 26, 2023 expressed an unqualified opinion on those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rPr>
          <w:sz w:val="20"/>
          <w:szCs w:val="20"/>
          <w:color w:val="auto"/>
        </w:rPr>
      </w:pPr>
      <w:r>
        <w:rPr>
          <w:rFonts w:ascii="Arial" w:cs="Arial" w:eastAsia="Arial" w:hAnsi="Arial"/>
          <w:sz w:val="18"/>
          <w:szCs w:val="18"/>
          <w:color w:val="auto"/>
        </w:rPr>
        <w:t>April 26, 2023</w:t>
      </w:r>
    </w:p>
    <w:p>
      <w:pPr>
        <w:spacing w:after="0" w:line="377" w:lineRule="exact"/>
        <w:rPr>
          <w:sz w:val="20"/>
          <w:szCs w:val="20"/>
          <w:color w:val="auto"/>
        </w:rPr>
      </w:pPr>
    </w:p>
    <w:p>
      <w:pPr>
        <w:ind w:left="1060" w:hanging="534"/>
        <w:spacing w:after="0"/>
        <w:tabs>
          <w:tab w:leader="none" w:pos="106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09" w:lineRule="exact"/>
        <w:rPr>
          <w:sz w:val="20"/>
          <w:szCs w:val="20"/>
          <w:color w:val="auto"/>
        </w:rPr>
      </w:pPr>
    </w:p>
    <w:p>
      <w:pPr>
        <w:ind w:right="80" w:firstLine="523"/>
        <w:spacing w:after="0" w:line="272" w:lineRule="auto"/>
        <w:rPr>
          <w:sz w:val="20"/>
          <w:szCs w:val="20"/>
          <w:color w:val="auto"/>
        </w:rPr>
      </w:pPr>
      <w:r>
        <w:rPr>
          <w:rFonts w:ascii="Times New Roman" w:cs="Times New Roman" w:eastAsia="Times New Roman" w:hAnsi="Times New Roman"/>
          <w:sz w:val="17"/>
          <w:szCs w:val="17"/>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w:t>
      </w:r>
    </w:p>
    <w:p>
      <w:pPr>
        <w:spacing w:after="0" w:line="205" w:lineRule="exact"/>
        <w:rPr>
          <w:sz w:val="20"/>
          <w:szCs w:val="20"/>
          <w:color w:val="auto"/>
        </w:rPr>
      </w:pPr>
    </w:p>
    <w:p>
      <w:pPr>
        <w:ind w:left="1060" w:hanging="534"/>
        <w:spacing w:after="0"/>
        <w:tabs>
          <w:tab w:leader="none" w:pos="106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Audit Committee Financial Expert.</w:t>
      </w:r>
    </w:p>
    <w:p>
      <w:pPr>
        <w:spacing w:after="0" w:line="209" w:lineRule="exact"/>
        <w:rPr>
          <w:sz w:val="20"/>
          <w:szCs w:val="20"/>
          <w:color w:val="auto"/>
        </w:rPr>
      </w:pPr>
    </w:p>
    <w:p>
      <w:pPr>
        <w:ind w:right="260" w:firstLine="523"/>
        <w:spacing w:after="0" w:line="272" w:lineRule="auto"/>
        <w:rPr>
          <w:sz w:val="20"/>
          <w:szCs w:val="20"/>
          <w:color w:val="auto"/>
        </w:rPr>
      </w:pPr>
      <w:r>
        <w:rPr>
          <w:rFonts w:ascii="Times New Roman" w:cs="Times New Roman" w:eastAsia="Times New Roman" w:hAnsi="Times New Roman"/>
          <w:sz w:val="17"/>
          <w:szCs w:val="17"/>
          <w:color w:val="auto"/>
        </w:rPr>
        <w:t>Our board of directors has determined that director Abel Rasterhoff qualifies as an audit committee financial expert for purposes of the U.S. Sarbanes-Oxley Act of 2002 and is independent under applicable Nasdaq Global Select Market and SEC standards.</w:t>
      </w:r>
    </w:p>
    <w:p>
      <w:pPr>
        <w:spacing w:after="0" w:line="154" w:lineRule="exact"/>
        <w:rPr>
          <w:sz w:val="20"/>
          <w:szCs w:val="20"/>
          <w:color w:val="auto"/>
        </w:rPr>
      </w:pPr>
    </w:p>
    <w:p>
      <w:pPr>
        <w:ind w:left="1060" w:hanging="534"/>
        <w:spacing w:after="0"/>
        <w:tabs>
          <w:tab w:leader="none" w:pos="106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Code of Ethics.</w:t>
      </w:r>
    </w:p>
    <w:p>
      <w:pPr>
        <w:spacing w:after="0" w:line="209" w:lineRule="exact"/>
        <w:rPr>
          <w:sz w:val="20"/>
          <w:szCs w:val="20"/>
          <w:color w:val="auto"/>
        </w:rPr>
      </w:pPr>
    </w:p>
    <w:p>
      <w:pPr>
        <w:ind w:right="100" w:firstLine="523"/>
        <w:spacing w:after="0" w:line="252" w:lineRule="auto"/>
        <w:rPr>
          <w:sz w:val="20"/>
          <w:szCs w:val="20"/>
          <w:color w:val="auto"/>
        </w:rPr>
      </w:pPr>
      <w:r>
        <w:rPr>
          <w:rFonts w:ascii="Times New Roman" w:cs="Times New Roman" w:eastAsia="Times New Roman" w:hAnsi="Times New Roman"/>
          <w:sz w:val="17"/>
          <w:szCs w:val="17"/>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our Managers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ectPr>
          <w:pgSz w:w="11900" w:h="16838" w:orient="portrait"/>
          <w:cols w:equalWidth="0" w:num="1">
            <w:col w:w="11240"/>
          </w:cols>
          <w:pgMar w:left="320" w:top="545" w:right="339" w:bottom="0" w:gutter="0" w:footer="0" w:header="0"/>
        </w:sectPr>
      </w:pPr>
    </w:p>
    <w:bookmarkStart w:id="90" w:name="page91"/>
    <w:bookmarkEnd w:id="90"/>
    <w:p>
      <w:pPr>
        <w:ind w:firstLine="523"/>
        <w:spacing w:after="0" w:line="282" w:lineRule="auto"/>
        <w:rPr>
          <w:sz w:val="20"/>
          <w:szCs w:val="20"/>
          <w:color w:val="auto"/>
        </w:rPr>
      </w:pPr>
      <w:r>
        <w:rPr>
          <w:rFonts w:ascii="Times New Roman" w:cs="Times New Roman" w:eastAsia="Times New Roman" w:hAnsi="Times New Roman"/>
          <w:sz w:val="16"/>
          <w:szCs w:val="16"/>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253"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6"/>
          <w:szCs w:val="16"/>
          <w:color w:val="auto"/>
        </w:rPr>
        <w:t>86</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ind w:left="1060" w:hanging="534"/>
        <w:spacing w:after="0"/>
        <w:tabs>
          <w:tab w:leader="none" w:pos="106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Accountant Fees and Services.</w:t>
      </w:r>
    </w:p>
    <w:p>
      <w:pPr>
        <w:spacing w:after="0" w:line="209" w:lineRule="exact"/>
        <w:rPr>
          <w:sz w:val="20"/>
          <w:szCs w:val="20"/>
          <w:color w:val="auto"/>
        </w:rPr>
      </w:pPr>
    </w:p>
    <w:p>
      <w:pPr>
        <w:ind w:right="60" w:firstLine="523"/>
        <w:spacing w:after="0" w:line="272" w:lineRule="auto"/>
        <w:rPr>
          <w:sz w:val="20"/>
          <w:szCs w:val="20"/>
          <w:color w:val="auto"/>
        </w:rPr>
      </w:pPr>
      <w:r>
        <w:rPr>
          <w:rFonts w:ascii="Times New Roman" w:cs="Times New Roman" w:eastAsia="Times New Roman" w:hAnsi="Times New Roman"/>
          <w:sz w:val="17"/>
          <w:szCs w:val="17"/>
          <w:color w:val="auto"/>
        </w:rPr>
        <w:t>Our principal accountant for 2022 and 2021 was Deloitte Certified Public Accountants S.A. (PCAOB ID No. 1163) The following table shows the fees we paid or accrued for audit and tax services provided by Deloitte for these periods (in thousands of U.S. Dollars).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Fees</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1"/>
        </w:trPr>
        <w:tc>
          <w:tcPr>
            <w:tcW w:w="8160" w:type="dxa"/>
            <w:vAlign w:val="bottom"/>
            <w:tcBorders>
              <w:top w:val="single" w:sz="8" w:color="auto"/>
            </w:tcBorders>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r>
      <w:tr>
        <w:trPr>
          <w:trHeight w:val="238"/>
        </w:trPr>
        <w:tc>
          <w:tcPr>
            <w:tcW w:w="8260" w:type="dxa"/>
            <w:vAlign w:val="bottom"/>
            <w:gridSpan w:val="2"/>
          </w:tcPr>
          <w:p>
            <w:pPr>
              <w:spacing w:after="0" w:line="237"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7"/>
                <w:szCs w:val="27"/>
                <w:color w:val="auto"/>
                <w:vertAlign w:val="superscript"/>
              </w:rPr>
              <w:t>(2)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101.7</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38"/>
        </w:trPr>
        <w:tc>
          <w:tcPr>
            <w:tcW w:w="826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7"/>
                <w:szCs w:val="27"/>
                <w:color w:val="auto"/>
                <w:vertAlign w:val="superscript"/>
              </w:rPr>
              <w:t>(3)</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w:t>
            </w: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193"/>
        </w:trPr>
        <w:tc>
          <w:tcPr>
            <w:tcW w:w="82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497.4</w:t>
            </w:r>
          </w:p>
        </w:tc>
        <w:tc>
          <w:tcPr>
            <w:tcW w:w="10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412.8</w:t>
            </w:r>
          </w:p>
        </w:tc>
      </w:tr>
    </w:tbl>
    <w:p>
      <w:pPr>
        <w:spacing w:after="0" w:line="184" w:lineRule="exact"/>
        <w:rPr>
          <w:sz w:val="20"/>
          <w:szCs w:val="20"/>
          <w:color w:val="auto"/>
        </w:rPr>
      </w:pPr>
    </w:p>
    <w:p>
      <w:pPr>
        <w:jc w:val="both"/>
        <w:ind w:left="380" w:hanging="380"/>
        <w:spacing w:after="0" w:line="259" w:lineRule="auto"/>
        <w:tabs>
          <w:tab w:leader="none" w:pos="3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w:t>
      </w:r>
    </w:p>
    <w:p>
      <w:pPr>
        <w:spacing w:after="0" w:line="168" w:lineRule="exact"/>
        <w:rPr>
          <w:rFonts w:ascii="Times New Roman" w:cs="Times New Roman" w:eastAsia="Times New Roman" w:hAnsi="Times New Roman"/>
          <w:sz w:val="17"/>
          <w:szCs w:val="17"/>
          <w:color w:val="auto"/>
        </w:rPr>
      </w:pPr>
    </w:p>
    <w:p>
      <w:pPr>
        <w:ind w:left="380" w:right="220" w:hanging="380"/>
        <w:spacing w:after="0" w:line="272" w:lineRule="auto"/>
        <w:tabs>
          <w:tab w:leader="none" w:pos="3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related fees represent compensation for professional services provided in connection with the review of the prospectus and related services for the public offering and listing on the Athens Stock Exchange of senior unsecured bonds by CPLP PLC.</w:t>
      </w:r>
    </w:p>
    <w:p>
      <w:pPr>
        <w:spacing w:after="0" w:line="158" w:lineRule="exact"/>
        <w:rPr>
          <w:rFonts w:ascii="Times New Roman" w:cs="Times New Roman" w:eastAsia="Times New Roman" w:hAnsi="Times New Roman"/>
          <w:sz w:val="17"/>
          <w:szCs w:val="17"/>
          <w:color w:val="auto"/>
        </w:rPr>
      </w:pPr>
    </w:p>
    <w:p>
      <w:pPr>
        <w:ind w:left="380" w:hanging="380"/>
        <w:spacing w:after="0"/>
        <w:tabs>
          <w:tab w:leader="none" w:pos="3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represent fees for professional services provided in connection with various U.S. income tax compliance and information reporting matters.</w:t>
      </w:r>
    </w:p>
    <w:p>
      <w:pPr>
        <w:spacing w:after="0" w:line="205" w:lineRule="exact"/>
        <w:rPr>
          <w:sz w:val="20"/>
          <w:szCs w:val="20"/>
          <w:color w:val="auto"/>
        </w:rPr>
      </w:pPr>
    </w:p>
    <w:p>
      <w:pPr>
        <w:jc w:val="both"/>
        <w:ind w:firstLine="523"/>
        <w:spacing w:after="0" w:line="275" w:lineRule="auto"/>
        <w:rPr>
          <w:sz w:val="20"/>
          <w:szCs w:val="20"/>
          <w:color w:val="auto"/>
        </w:rPr>
      </w:pPr>
      <w:r>
        <w:rPr>
          <w:rFonts w:ascii="Times New Roman" w:cs="Times New Roman" w:eastAsia="Times New Roman" w:hAnsi="Times New Roman"/>
          <w:sz w:val="16"/>
          <w:szCs w:val="16"/>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2022 and 2021.</w:t>
      </w:r>
    </w:p>
    <w:p>
      <w:pPr>
        <w:spacing w:after="0" w:line="155" w:lineRule="exact"/>
        <w:rPr>
          <w:sz w:val="20"/>
          <w:szCs w:val="20"/>
          <w:color w:val="auto"/>
        </w:rPr>
      </w:pPr>
    </w:p>
    <w:p>
      <w:pPr>
        <w:ind w:left="1060" w:hanging="534"/>
        <w:spacing w:after="0"/>
        <w:tabs>
          <w:tab w:leader="none" w:pos="106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Exemptions from the Listing Standards for Audit Committees.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ind w:left="1060" w:hanging="534"/>
        <w:spacing w:after="0"/>
        <w:tabs>
          <w:tab w:leader="none" w:pos="106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09" w:lineRule="exact"/>
        <w:rPr>
          <w:sz w:val="20"/>
          <w:szCs w:val="20"/>
          <w:color w:val="auto"/>
        </w:rPr>
      </w:pPr>
    </w:p>
    <w:p>
      <w:pPr>
        <w:jc w:val="both"/>
        <w:ind w:firstLine="523"/>
        <w:spacing w:after="0" w:line="254" w:lineRule="auto"/>
        <w:rPr>
          <w:sz w:val="20"/>
          <w:szCs w:val="20"/>
          <w:color w:val="auto"/>
        </w:rPr>
      </w:pPr>
      <w:r>
        <w:rPr>
          <w:rFonts w:ascii="Times New Roman" w:cs="Times New Roman" w:eastAsia="Times New Roman" w:hAnsi="Times New Roman"/>
          <w:sz w:val="17"/>
          <w:szCs w:val="17"/>
          <w:color w:val="auto"/>
        </w:rPr>
        <w:t>On January 25, 2021, the Partnership’s Board of Directors approved a unit repurchase program, providing the Partnership with authorization to repurchase up to $30.0 million of units of the Partnership’s common unit, effective for a period of two years. The Partnership may repurchase these units in the open market or in privately negotiated transactions, at times and prices that are considered to be appropriate by the Partnership. During 2022 the Partnership had purchased 389,962 common units under the program at a total cost of $5.9 million.</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repurchases of common units in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 Total</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(b) Average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 Total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(d) Maximum</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8"/>
              </w:rPr>
              <w:t>Price Paid per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9"/>
              </w:rPr>
              <w:t>Number (or</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8"/>
              </w:rPr>
              <w:t>Common Unit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Approximate</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Dollar Value)</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Purchased as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8"/>
              </w:rPr>
              <w:t>of Common</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Part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Units that</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Publicly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5"/>
              </w:rPr>
              <w:t>May Yet Be</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Announced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Plans 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Under the</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Plans or</w:t>
            </w:r>
          </w:p>
        </w:tc>
        <w:tc>
          <w:tcPr>
            <w:tcW w:w="0" w:type="dxa"/>
            <w:vAlign w:val="bottom"/>
          </w:tcPr>
          <w:p>
            <w:pPr>
              <w:spacing w:after="0"/>
              <w:rPr>
                <w:sz w:val="1"/>
                <w:szCs w:val="1"/>
                <w:color w:val="auto"/>
              </w:rPr>
            </w:pPr>
          </w:p>
        </w:tc>
      </w:tr>
      <w:tr>
        <w:trPr>
          <w:trHeight w:val="221"/>
        </w:trPr>
        <w:tc>
          <w:tcPr>
            <w:tcW w:w="4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Repurchases of units under the Plan brought forward from 2021</w:t>
            </w: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gridSpan w:val="2"/>
          </w:tcPr>
          <w:p>
            <w:pPr>
              <w:jc w:val="center"/>
              <w:ind w:left="17"/>
              <w:spacing w:after="0" w:line="193" w:lineRule="exact"/>
              <w:rPr>
                <w:sz w:val="20"/>
                <w:szCs w:val="20"/>
                <w:color w:val="auto"/>
              </w:rPr>
            </w:pPr>
            <w:r>
              <w:rPr>
                <w:rFonts w:ascii="Times New Roman" w:cs="Times New Roman" w:eastAsia="Times New Roman" w:hAnsi="Times New Roman"/>
                <w:sz w:val="17"/>
                <w:szCs w:val="17"/>
                <w:color w:val="auto"/>
                <w:w w:val="98"/>
              </w:rPr>
              <w:t>25,512,893.43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January 1 – January 31, 2022</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ind w:left="920"/>
              <w:spacing w:after="0" w:line="193" w:lineRule="exact"/>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center"/>
              <w:ind w:left="17"/>
              <w:spacing w:after="0" w:line="193" w:lineRule="exact"/>
              <w:rPr>
                <w:sz w:val="20"/>
                <w:szCs w:val="20"/>
                <w:color w:val="auto"/>
              </w:rPr>
            </w:pPr>
            <w:r>
              <w:rPr>
                <w:rFonts w:ascii="Times New Roman" w:cs="Times New Roman" w:eastAsia="Times New Roman" w:hAnsi="Times New Roman"/>
                <w:sz w:val="17"/>
                <w:szCs w:val="17"/>
                <w:color w:val="auto"/>
                <w:w w:val="98"/>
              </w:rPr>
              <w:t>25,512,893.43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February 1 – February 28,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21,008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15.366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25,190,086.27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March 31, 2022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15.763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68,337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6"/>
              </w:rPr>
              <w:t>24,112,900.51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April 1 – April 30,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28,310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16.997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23,631,727.69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1 – May 31, 2022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15.393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23,138,844.52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June 1 – June 30,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35,365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9"/>
              </w:rPr>
              <w:t>15.711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35,365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22,583,228.58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1 – July 31, 2022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14.107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22,206,570.71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August 1 – August 31,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39,805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14.697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21,621,567.09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1 – September 30, 2022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14.962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21,089,248.94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October 1 – October 31,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32,191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14.164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32,191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20,633,301.87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1 – November 30, 2022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14.867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20,153,971.53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December 1 – December 31,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38,405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14,049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19,614,407.27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1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389,962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15.126</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389,962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gridSpan w:val="2"/>
            <w:shd w:val="clear" w:color="auto" w:fill="CCEEFF"/>
          </w:tcPr>
          <w:p>
            <w:pPr>
              <w:jc w:val="center"/>
              <w:ind w:left="17"/>
              <w:spacing w:after="0" w:line="193" w:lineRule="exact"/>
              <w:rPr>
                <w:sz w:val="20"/>
                <w:szCs w:val="20"/>
                <w:color w:val="auto"/>
              </w:rPr>
            </w:pPr>
            <w:r>
              <w:rPr>
                <w:rFonts w:ascii="Times New Roman" w:cs="Times New Roman" w:eastAsia="Times New Roman" w:hAnsi="Times New Roman"/>
                <w:sz w:val="17"/>
                <w:szCs w:val="17"/>
                <w:b w:val="1"/>
                <w:bCs w:val="1"/>
                <w:color w:val="auto"/>
                <w:w w:val="98"/>
              </w:rPr>
              <w:t>19,614,407.27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4900" w:type="dxa"/>
            <w:vAlign w:val="bottom"/>
          </w:tcPr>
          <w:p>
            <w:pPr>
              <w:spacing w:after="0"/>
              <w:rPr>
                <w:sz w:val="24"/>
                <w:szCs w:val="2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87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45" w:right="339" w:bottom="1440" w:gutter="0" w:footer="0" w:header="0"/>
        </w:sectPr>
      </w:pPr>
    </w:p>
    <w:bookmarkStart w:id="92" w:name="page93"/>
    <w:bookmarkEnd w:id="92"/>
    <w:p>
      <w:pPr>
        <w:ind w:left="1060" w:right="6860" w:hanging="534"/>
        <w:spacing w:after="0" w:line="523" w:lineRule="auto"/>
        <w:tabs>
          <w:tab w:leader="none" w:pos="1052"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 in Registrant’s Certifying Accountant. </w:t>
      </w:r>
      <w:r>
        <w:rPr>
          <w:rFonts w:ascii="Times New Roman" w:cs="Times New Roman" w:eastAsia="Times New Roman" w:hAnsi="Times New Roman"/>
          <w:sz w:val="17"/>
          <w:szCs w:val="17"/>
          <w:color w:val="auto"/>
        </w:rPr>
        <w:t>Not applicable.</w:t>
      </w:r>
    </w:p>
    <w:p>
      <w:pPr>
        <w:spacing w:after="0" w:line="200" w:lineRule="exact"/>
        <w:rPr>
          <w:rFonts w:ascii="Times New Roman" w:cs="Times New Roman" w:eastAsia="Times New Roman" w:hAnsi="Times New Roman"/>
          <w:sz w:val="17"/>
          <w:szCs w:val="17"/>
          <w:b w:val="1"/>
          <w:bCs w:val="1"/>
          <w:color w:val="auto"/>
        </w:rPr>
      </w:pPr>
    </w:p>
    <w:p>
      <w:pPr>
        <w:ind w:left="1060" w:hanging="534"/>
        <w:spacing w:after="0"/>
        <w:tabs>
          <w:tab w:leader="none" w:pos="106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Governance.</w:t>
      </w:r>
    </w:p>
    <w:p>
      <w:pPr>
        <w:spacing w:after="0" w:line="209" w:lineRule="exact"/>
        <w:rPr>
          <w:sz w:val="20"/>
          <w:szCs w:val="20"/>
          <w:color w:val="auto"/>
        </w:rPr>
      </w:pPr>
    </w:p>
    <w:p>
      <w:pPr>
        <w:jc w:val="both"/>
        <w:ind w:firstLine="523"/>
        <w:spacing w:after="0" w:line="249" w:lineRule="auto"/>
        <w:rPr>
          <w:sz w:val="20"/>
          <w:szCs w:val="20"/>
          <w:color w:val="auto"/>
        </w:rPr>
      </w:pPr>
      <w:r>
        <w:rPr>
          <w:rFonts w:ascii="Times New Roman" w:cs="Times New Roman" w:eastAsia="Times New Roman" w:hAnsi="Times New Roman"/>
          <w:sz w:val="17"/>
          <w:szCs w:val="17"/>
          <w:color w:val="auto"/>
        </w:rPr>
        <w:t>The Nasdaq Global Select Market requires limited partnerships with listed units to comply with its corporate governance standards, subject to certain exceptions as set forth in Nasdaq Rule 5615(a)(4).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 Directors, Senior Management and Employees—C. Board Practices” and “Item 10. Additional Information— B. Memorandum and Articles of Association” for more detail regarding our corporate governance practices.</w:t>
      </w:r>
    </w:p>
    <w:p>
      <w:pPr>
        <w:spacing w:after="0" w:line="175" w:lineRule="exact"/>
        <w:rPr>
          <w:sz w:val="20"/>
          <w:szCs w:val="20"/>
          <w:color w:val="auto"/>
        </w:rPr>
      </w:pPr>
    </w:p>
    <w:p>
      <w:pPr>
        <w:ind w:left="1060" w:hanging="534"/>
        <w:spacing w:after="0"/>
        <w:tabs>
          <w:tab w:leader="none" w:pos="106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Mine Safety Disclosure.</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ind w:left="1060" w:hanging="534"/>
        <w:spacing w:after="0"/>
        <w:tabs>
          <w:tab w:leader="none" w:pos="106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Insider Trading Policies.</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88</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7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601"/>
        </w:trPr>
        <w:tc>
          <w:tcPr>
            <w:tcW w:w="9740" w:type="dxa"/>
            <w:vAlign w:val="bottom"/>
            <w:gridSpan w:val="7"/>
          </w:tcPr>
          <w:p>
            <w:pPr>
              <w:ind w:left="540"/>
              <w:spacing w:after="0"/>
              <w:rPr>
                <w:sz w:val="20"/>
                <w:szCs w:val="20"/>
                <w:color w:val="auto"/>
              </w:rPr>
            </w:pPr>
            <w:r>
              <w:rPr>
                <w:rFonts w:ascii="Times New Roman" w:cs="Times New Roman" w:eastAsia="Times New Roman" w:hAnsi="Times New Roman"/>
                <w:sz w:val="17"/>
                <w:szCs w:val="17"/>
                <w:color w:val="auto"/>
              </w:rPr>
              <w:t>Not Applicable.</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01"/>
        </w:trPr>
        <w:tc>
          <w:tcPr>
            <w:tcW w:w="97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02"/>
        </w:trPr>
        <w:tc>
          <w:tcPr>
            <w:tcW w:w="9740" w:type="dxa"/>
            <w:vAlign w:val="bottom"/>
            <w:gridSpan w:val="7"/>
          </w:tcPr>
          <w:p>
            <w:pPr>
              <w:ind w:left="2700"/>
              <w:spacing w:after="0"/>
              <w:rPr>
                <w:sz w:val="20"/>
                <w:szCs w:val="20"/>
                <w:color w:val="auto"/>
              </w:rPr>
            </w:pPr>
            <w:r>
              <w:rPr>
                <w:rFonts w:ascii="Times New Roman" w:cs="Times New Roman" w:eastAsia="Times New Roman" w:hAnsi="Times New Roman"/>
                <w:sz w:val="17"/>
                <w:szCs w:val="17"/>
                <w:b w:val="1"/>
                <w:bCs w:val="1"/>
                <w:color w:val="auto"/>
              </w:rPr>
              <w:t>INDEX TO FINANCIAL STATEMENTS CAPITAL PRODUCT PARTNERS L.P.</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64"/>
        </w:trPr>
        <w:tc>
          <w:tcPr>
            <w:tcW w:w="5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Report of Independent Registered Public Accounting Firm (PCAOB ID No. 1163)</w:t>
            </w:r>
          </w:p>
        </w:tc>
        <w:tc>
          <w:tcPr>
            <w:tcW w:w="4240" w:type="dxa"/>
            <w:vAlign w:val="bottom"/>
            <w:gridSpan w:val="4"/>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w w:val="89"/>
              </w:rPr>
              <w:t>F-1</w:t>
            </w:r>
          </w:p>
        </w:tc>
      </w:tr>
      <w:tr>
        <w:trPr>
          <w:trHeight w:val="180"/>
        </w:trPr>
        <w:tc>
          <w:tcPr>
            <w:tcW w:w="432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97"/>
              </w:rPr>
              <w:t>Consolidated Balance Sheets as of December 31, 2022 and 2021</w:t>
            </w:r>
          </w:p>
        </w:tc>
        <w:tc>
          <w:tcPr>
            <w:tcW w:w="5420" w:type="dxa"/>
            <w:vAlign w:val="bottom"/>
            <w:gridSpan w:val="5"/>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89"/>
              </w:rPr>
              <w:t>F-2</w:t>
            </w:r>
          </w:p>
        </w:tc>
      </w:tr>
      <w:tr>
        <w:trPr>
          <w:trHeight w:val="180"/>
        </w:trPr>
        <w:tc>
          <w:tcPr>
            <w:tcW w:w="7220" w:type="dxa"/>
            <w:vAlign w:val="bottom"/>
            <w:tcBorders>
              <w:bottom w:val="single" w:sz="8" w:color="0000EE"/>
            </w:tcBorders>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7"/>
              </w:rPr>
              <w:t>Consolidated Statements of Comprehensive Income for the years ended December 31, 2022, 2021 and 2020</w:t>
            </w:r>
          </w:p>
        </w:tc>
        <w:tc>
          <w:tcPr>
            <w:tcW w:w="252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89"/>
              </w:rPr>
              <w:t>F-3</w:t>
            </w:r>
          </w:p>
        </w:tc>
      </w:tr>
      <w:tr>
        <w:trPr>
          <w:trHeight w:val="180"/>
        </w:trPr>
        <w:tc>
          <w:tcPr>
            <w:tcW w:w="7540" w:type="dxa"/>
            <w:vAlign w:val="bottom"/>
            <w:tcBorders>
              <w:bottom w:val="single" w:sz="8" w:color="0000EE"/>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EE"/>
                <w:w w:val="97"/>
              </w:rPr>
              <w:t>Consolidated Statements of Changes in Partners’ Capital for the years ended December 31, 2022, 2021 and 2020</w:t>
            </w:r>
          </w:p>
        </w:tc>
        <w:tc>
          <w:tcPr>
            <w:tcW w:w="2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89"/>
              </w:rPr>
              <w:t>F-4</w:t>
            </w:r>
          </w:p>
        </w:tc>
      </w:tr>
      <w:tr>
        <w:trPr>
          <w:trHeight w:val="180"/>
        </w:trPr>
        <w:tc>
          <w:tcPr>
            <w:tcW w:w="974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2022, 2021 and 2020</w:t>
            </w:r>
          </w:p>
        </w:tc>
        <w:tc>
          <w:tcPr>
            <w:tcW w:w="1440" w:type="dxa"/>
            <w:vAlign w:val="bottom"/>
            <w:gridSpan w:val="2"/>
          </w:tcPr>
          <w:p>
            <w:pPr>
              <w:ind w:left="1200"/>
              <w:spacing w:after="0" w:line="181" w:lineRule="exact"/>
              <w:rPr>
                <w:sz w:val="20"/>
                <w:szCs w:val="20"/>
                <w:color w:val="auto"/>
              </w:rPr>
            </w:pPr>
            <w:r>
              <w:rPr>
                <w:rFonts w:ascii="Times New Roman" w:cs="Times New Roman" w:eastAsia="Times New Roman" w:hAnsi="Times New Roman"/>
                <w:sz w:val="17"/>
                <w:szCs w:val="17"/>
                <w:b w:val="1"/>
                <w:bCs w:val="1"/>
                <w:color w:val="0000EE"/>
                <w:w w:val="89"/>
              </w:rPr>
              <w:t>F-5</w:t>
            </w:r>
          </w:p>
        </w:tc>
      </w:tr>
      <w:tr>
        <w:trPr>
          <w:trHeight w:val="180"/>
        </w:trPr>
        <w:tc>
          <w:tcPr>
            <w:tcW w:w="6400" w:type="dxa"/>
            <w:vAlign w:val="bottom"/>
            <w:tcBorders>
              <w:top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3340" w:type="dxa"/>
            <w:vAlign w:val="bottom"/>
            <w:gridSpan w:val="3"/>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top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89"/>
              </w:rPr>
              <w:t>F-6</w:t>
            </w:r>
          </w:p>
        </w:tc>
      </w:tr>
      <w:tr>
        <w:trPr>
          <w:trHeight w:val="20"/>
        </w:trPr>
        <w:tc>
          <w:tcPr>
            <w:tcW w:w="31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89</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40" w:type="dxa"/>
            <w:vAlign w:val="bottom"/>
            <w:gridSpan w:val="69"/>
          </w:tcPr>
          <w:p>
            <w:pPr>
              <w:spacing w:after="0"/>
              <w:rPr>
                <w:sz w:val="20"/>
                <w:szCs w:val="20"/>
                <w:color w:val="auto"/>
              </w:rPr>
            </w:pPr>
            <w:r>
              <w:rPr>
                <w:rFonts w:ascii="Times New Roman" w:cs="Times New Roman" w:eastAsia="Times New Roman" w:hAnsi="Times New Roman"/>
                <w:sz w:val="17"/>
                <w:szCs w:val="17"/>
                <w:color w:val="auto"/>
              </w:rPr>
              <w:t>Exhibit</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w:t>
            </w:r>
          </w:p>
        </w:tc>
        <w:tc>
          <w:tcPr>
            <w:tcW w:w="8380" w:type="dxa"/>
            <w:vAlign w:val="bottom"/>
            <w:gridSpan w:val="51"/>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1.1</w:t>
            </w:r>
          </w:p>
        </w:tc>
        <w:tc>
          <w:tcPr>
            <w:tcW w:w="4460" w:type="dxa"/>
            <w:vAlign w:val="bottom"/>
            <w:gridSpan w:val="20"/>
            <w:vMerge w:val="restart"/>
          </w:tcPr>
          <w:p>
            <w:pPr>
              <w:spacing w:after="0"/>
              <w:rPr>
                <w:rFonts w:ascii="Times New Roman" w:cs="Times New Roman" w:eastAsia="Times New Roman" w:hAnsi="Times New Roman"/>
                <w:sz w:val="17"/>
                <w:szCs w:val="17"/>
                <w:color w:val="0000EE"/>
                <w:w w:val="98"/>
              </w:rPr>
            </w:pPr>
            <w:hyperlink r:id="rId115">
              <w:r>
                <w:rPr>
                  <w:rFonts w:ascii="Times New Roman" w:cs="Times New Roman" w:eastAsia="Times New Roman" w:hAnsi="Times New Roman"/>
                  <w:sz w:val="17"/>
                  <w:szCs w:val="17"/>
                  <w:color w:val="0000EE"/>
                  <w:w w:val="98"/>
                </w:rPr>
                <w:t>Certificate of Limited Partnership of Capital Product Partners L.P.</w:t>
              </w:r>
            </w:hyperlink>
          </w:p>
        </w:tc>
        <w:tc>
          <w:tcPr>
            <w:tcW w:w="160" w:type="dxa"/>
            <w:vAlign w:val="bottom"/>
            <w:tcBorders>
              <w:bottom w:val="single" w:sz="8" w:color="0000EE"/>
            </w:tcBorders>
            <w:gridSpan w:val="3"/>
          </w:tcPr>
          <w:p>
            <w:pPr>
              <w:jc w:val="right"/>
              <w:spacing w:after="0" w:line="133" w:lineRule="exact"/>
              <w:rPr>
                <w:rFonts w:ascii="Times New Roman" w:cs="Times New Roman" w:eastAsia="Times New Roman" w:hAnsi="Times New Roman"/>
                <w:sz w:val="14"/>
                <w:szCs w:val="14"/>
                <w:color w:val="0000EE"/>
                <w:w w:val="85"/>
              </w:rPr>
            </w:pPr>
            <w:hyperlink r:id="rId115">
              <w:r>
                <w:rPr>
                  <w:rFonts w:ascii="Times New Roman" w:cs="Times New Roman" w:eastAsia="Times New Roman" w:hAnsi="Times New Roman"/>
                  <w:sz w:val="14"/>
                  <w:szCs w:val="14"/>
                  <w:color w:val="0000EE"/>
                  <w:w w:val="85"/>
                </w:rPr>
                <w:t>(1)</w:t>
              </w:r>
            </w:hyperlink>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0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460" w:type="dxa"/>
            <w:vAlign w:val="bottom"/>
            <w:tcBorders>
              <w:bottom w:val="single" w:sz="8" w:color="0000EE"/>
            </w:tcBorders>
            <w:gridSpan w:val="20"/>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1.2</w:t>
            </w:r>
          </w:p>
        </w:tc>
        <w:tc>
          <w:tcPr>
            <w:tcW w:w="8380" w:type="dxa"/>
            <w:vAlign w:val="bottom"/>
            <w:gridSpan w:val="51"/>
            <w:vMerge w:val="restart"/>
          </w:tcPr>
          <w:p>
            <w:pPr>
              <w:spacing w:after="0"/>
              <w:rPr>
                <w:rFonts w:ascii="Times New Roman" w:cs="Times New Roman" w:eastAsia="Times New Roman" w:hAnsi="Times New Roman"/>
                <w:sz w:val="17"/>
                <w:szCs w:val="17"/>
                <w:color w:val="0000EE"/>
                <w:w w:val="98"/>
              </w:rPr>
            </w:pPr>
            <w:hyperlink r:id="rId116">
              <w:r>
                <w:rPr>
                  <w:rFonts w:ascii="Times New Roman" w:cs="Times New Roman" w:eastAsia="Times New Roman" w:hAnsi="Times New Roman"/>
                  <w:sz w:val="17"/>
                  <w:szCs w:val="17"/>
                  <w:color w:val="0000EE"/>
                  <w:w w:val="98"/>
                </w:rPr>
                <w:t>Second Amended and Restated Agreement of Limited Partnership of Capital Product Partners L.P., dated February 22, 2010</w:t>
              </w:r>
            </w:hyperlink>
          </w:p>
        </w:tc>
        <w:tc>
          <w:tcPr>
            <w:tcW w:w="160" w:type="dxa"/>
            <w:vAlign w:val="bottom"/>
            <w:tcBorders>
              <w:bottom w:val="single" w:sz="8" w:color="0000EE"/>
            </w:tcBorders>
          </w:tcPr>
          <w:p>
            <w:pPr>
              <w:jc w:val="right"/>
              <w:spacing w:after="0" w:line="135" w:lineRule="exact"/>
              <w:rPr>
                <w:sz w:val="20"/>
                <w:szCs w:val="20"/>
                <w:color w:val="auto"/>
              </w:rPr>
            </w:pPr>
            <w:r>
              <w:rPr>
                <w:rFonts w:ascii="Times New Roman" w:cs="Times New Roman" w:eastAsia="Times New Roman" w:hAnsi="Times New Roman"/>
                <w:sz w:val="14"/>
                <w:szCs w:val="14"/>
                <w:color w:val="0000EE"/>
                <w:w w:val="85"/>
              </w:rPr>
              <w:t>(3)</w:t>
            </w:r>
          </w:p>
        </w:tc>
        <w:tc>
          <w:tcPr>
            <w:tcW w:w="86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8380" w:type="dxa"/>
            <w:vAlign w:val="bottom"/>
            <w:tcBorders>
              <w:bottom w:val="single" w:sz="8" w:color="0000EE"/>
            </w:tcBorders>
            <w:gridSpan w:val="51"/>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(4)</w:t>
            </w: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1.3</w:t>
            </w:r>
          </w:p>
        </w:tc>
        <w:tc>
          <w:tcPr>
            <w:tcW w:w="9480" w:type="dxa"/>
            <w:vAlign w:val="bottom"/>
            <w:gridSpan w:val="54"/>
            <w:vMerge w:val="restart"/>
          </w:tcPr>
          <w:p>
            <w:pPr>
              <w:spacing w:after="0"/>
              <w:rPr>
                <w:rFonts w:ascii="Times New Roman" w:cs="Times New Roman" w:eastAsia="Times New Roman" w:hAnsi="Times New Roman"/>
                <w:sz w:val="17"/>
                <w:szCs w:val="17"/>
                <w:color w:val="0000EE"/>
                <w:w w:val="98"/>
              </w:rPr>
            </w:pPr>
            <w:hyperlink r:id="rId117">
              <w:r>
                <w:rPr>
                  <w:rFonts w:ascii="Times New Roman" w:cs="Times New Roman" w:eastAsia="Times New Roman" w:hAnsi="Times New Roman"/>
                  <w:sz w:val="17"/>
                  <w:szCs w:val="17"/>
                  <w:color w:val="0000EE"/>
                  <w:w w:val="98"/>
                </w:rPr>
                <w:t>Amendment to Second Amended and Restated Agreement of Limited Partnership of Capital Product Partners L.P., dated September 30, 2011</w:t>
              </w:r>
            </w:hyperlink>
          </w:p>
        </w:tc>
        <w:tc>
          <w:tcPr>
            <w:tcW w:w="180" w:type="dxa"/>
            <w:vAlign w:val="bottom"/>
            <w:tcBorders>
              <w:bottom w:val="single" w:sz="8" w:color="0000EE"/>
            </w:tcBorders>
            <w:gridSpan w:val="3"/>
            <w:vMerge w:val="continue"/>
          </w:tcPr>
          <w:p>
            <w:pPr>
              <w:spacing w:after="0"/>
              <w:rPr>
                <w:sz w:val="13"/>
                <w:szCs w:val="13"/>
                <w:color w:val="auto"/>
              </w:rPr>
            </w:pPr>
          </w:p>
        </w:tc>
        <w:tc>
          <w:tcPr>
            <w:tcW w:w="8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9480" w:type="dxa"/>
            <w:vAlign w:val="bottom"/>
            <w:tcBorders>
              <w:bottom w:val="single" w:sz="8" w:color="0000EE"/>
            </w:tcBorders>
            <w:gridSpan w:val="54"/>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1.4</w:t>
            </w:r>
          </w:p>
        </w:tc>
        <w:tc>
          <w:tcPr>
            <w:tcW w:w="9620" w:type="dxa"/>
            <w:vAlign w:val="bottom"/>
            <w:gridSpan w:val="55"/>
            <w:vMerge w:val="restart"/>
          </w:tcPr>
          <w:p>
            <w:pPr>
              <w:spacing w:after="0"/>
              <w:rPr>
                <w:rFonts w:ascii="Times New Roman" w:cs="Times New Roman" w:eastAsia="Times New Roman" w:hAnsi="Times New Roman"/>
                <w:sz w:val="17"/>
                <w:szCs w:val="17"/>
                <w:color w:val="0000EE"/>
                <w:w w:val="98"/>
              </w:rPr>
            </w:pPr>
            <w:hyperlink r:id="rId118">
              <w:r>
                <w:rPr>
                  <w:rFonts w:ascii="Times New Roman" w:cs="Times New Roman" w:eastAsia="Times New Roman" w:hAnsi="Times New Roman"/>
                  <w:sz w:val="17"/>
                  <w:szCs w:val="17"/>
                  <w:color w:val="0000EE"/>
                  <w:w w:val="98"/>
                </w:rPr>
                <w:t>Second Amendment to Second Amended and Restated Agreement of Limited Partnership of Capital Product Partners L.P., dated May 22, 2012</w:t>
              </w:r>
            </w:hyperlink>
          </w:p>
        </w:tc>
        <w:tc>
          <w:tcPr>
            <w:tcW w:w="160" w:type="dxa"/>
            <w:vAlign w:val="bottom"/>
            <w:tcBorders>
              <w:bottom w:val="single" w:sz="8" w:color="0000EE"/>
            </w:tcBorders>
            <w:gridSpan w:val="4"/>
          </w:tcPr>
          <w:p>
            <w:pPr>
              <w:jc w:val="right"/>
              <w:spacing w:after="0" w:line="135" w:lineRule="exact"/>
              <w:rPr>
                <w:sz w:val="20"/>
                <w:szCs w:val="20"/>
                <w:color w:val="auto"/>
              </w:rPr>
            </w:pPr>
            <w:r>
              <w:rPr>
                <w:rFonts w:ascii="Times New Roman" w:cs="Times New Roman" w:eastAsia="Times New Roman" w:hAnsi="Times New Roman"/>
                <w:sz w:val="14"/>
                <w:szCs w:val="14"/>
                <w:color w:val="0000EE"/>
                <w:w w:val="85"/>
              </w:rPr>
              <w:t>(6)</w:t>
            </w: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9620" w:type="dxa"/>
            <w:vAlign w:val="bottom"/>
            <w:tcBorders>
              <w:bottom w:val="single" w:sz="8" w:color="0000EE"/>
            </w:tcBorders>
            <w:gridSpan w:val="55"/>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1.5</w:t>
            </w:r>
          </w:p>
        </w:tc>
        <w:tc>
          <w:tcPr>
            <w:tcW w:w="9640" w:type="dxa"/>
            <w:vAlign w:val="bottom"/>
            <w:gridSpan w:val="56"/>
            <w:vMerge w:val="restart"/>
          </w:tcPr>
          <w:p>
            <w:pPr>
              <w:spacing w:after="0"/>
              <w:rPr>
                <w:rFonts w:ascii="Times New Roman" w:cs="Times New Roman" w:eastAsia="Times New Roman" w:hAnsi="Times New Roman"/>
                <w:sz w:val="17"/>
                <w:szCs w:val="17"/>
                <w:color w:val="0000EE"/>
                <w:w w:val="98"/>
              </w:rPr>
            </w:pPr>
            <w:hyperlink r:id="rId119">
              <w:r>
                <w:rPr>
                  <w:rFonts w:ascii="Times New Roman" w:cs="Times New Roman" w:eastAsia="Times New Roman" w:hAnsi="Times New Roman"/>
                  <w:sz w:val="17"/>
                  <w:szCs w:val="17"/>
                  <w:color w:val="0000EE"/>
                  <w:w w:val="98"/>
                </w:rPr>
                <w:t>Third Amendment to Second Amended and Restated Agreement of Limited Partnership of Capital Product Partners L.P., dated March 19, 2013</w:t>
              </w:r>
            </w:hyperlink>
          </w:p>
        </w:tc>
        <w:tc>
          <w:tcPr>
            <w:tcW w:w="160" w:type="dxa"/>
            <w:vAlign w:val="bottom"/>
            <w:tcBorders>
              <w:bottom w:val="single" w:sz="8" w:color="0000EE"/>
            </w:tcBorders>
            <w:gridSpan w:val="4"/>
          </w:tcPr>
          <w:p>
            <w:pPr>
              <w:jc w:val="right"/>
              <w:ind w:right="20"/>
              <w:spacing w:after="0" w:line="135" w:lineRule="exact"/>
              <w:rPr>
                <w:sz w:val="20"/>
                <w:szCs w:val="20"/>
                <w:color w:val="auto"/>
              </w:rPr>
            </w:pPr>
            <w:r>
              <w:rPr>
                <w:rFonts w:ascii="Times New Roman" w:cs="Times New Roman" w:eastAsia="Times New Roman" w:hAnsi="Times New Roman"/>
                <w:sz w:val="14"/>
                <w:szCs w:val="14"/>
                <w:color w:val="0000EE"/>
                <w:w w:val="73"/>
              </w:rPr>
              <w:t>(7)</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9640" w:type="dxa"/>
            <w:vAlign w:val="bottom"/>
            <w:tcBorders>
              <w:bottom w:val="single" w:sz="8" w:color="0000EE"/>
            </w:tcBorders>
            <w:gridSpan w:val="56"/>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1.6</w:t>
            </w:r>
          </w:p>
        </w:tc>
        <w:tc>
          <w:tcPr>
            <w:tcW w:w="9740" w:type="dxa"/>
            <w:vAlign w:val="bottom"/>
            <w:gridSpan w:val="58"/>
            <w:vMerge w:val="restart"/>
          </w:tcPr>
          <w:p>
            <w:pPr>
              <w:spacing w:after="0"/>
              <w:rPr>
                <w:rFonts w:ascii="Times New Roman" w:cs="Times New Roman" w:eastAsia="Times New Roman" w:hAnsi="Times New Roman"/>
                <w:sz w:val="17"/>
                <w:szCs w:val="17"/>
                <w:color w:val="0000EE"/>
                <w:w w:val="98"/>
              </w:rPr>
            </w:pPr>
            <w:hyperlink r:id="rId120">
              <w:r>
                <w:rPr>
                  <w:rFonts w:ascii="Times New Roman" w:cs="Times New Roman" w:eastAsia="Times New Roman" w:hAnsi="Times New Roman"/>
                  <w:sz w:val="17"/>
                  <w:szCs w:val="17"/>
                  <w:color w:val="0000EE"/>
                  <w:w w:val="98"/>
                </w:rPr>
                <w:t>Fourth Amendment to Second Amended and Restated Agreement of Limited Partnership of Capital Product Partners L.P., dated August 25, 2014</w:t>
              </w:r>
            </w:hyperlink>
          </w:p>
        </w:tc>
        <w:tc>
          <w:tcPr>
            <w:tcW w:w="160" w:type="dxa"/>
            <w:vAlign w:val="bottom"/>
            <w:tcBorders>
              <w:bottom w:val="single" w:sz="8" w:color="0000EE"/>
            </w:tcBorders>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0000EE"/>
                <w:w w:val="85"/>
              </w:rPr>
              <w:t>(9)</w:t>
            </w:r>
          </w:p>
        </w:tc>
        <w:tc>
          <w:tcPr>
            <w:tcW w:w="2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9740" w:type="dxa"/>
            <w:vAlign w:val="bottom"/>
            <w:tcBorders>
              <w:bottom w:val="single" w:sz="8" w:color="0000EE"/>
            </w:tcBorders>
            <w:gridSpan w:val="58"/>
            <w:vMerge w:val="continue"/>
          </w:tcPr>
          <w:p>
            <w:pPr>
              <w:spacing w:after="0"/>
              <w:rPr>
                <w:sz w:val="3"/>
                <w:szCs w:val="3"/>
                <w:color w:val="auto"/>
              </w:rPr>
            </w:pPr>
          </w:p>
        </w:tc>
        <w:tc>
          <w:tcPr>
            <w:tcW w:w="160" w:type="dxa"/>
            <w:vAlign w:val="bottom"/>
            <w:gridSpan w:val="3"/>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1.7</w:t>
            </w:r>
          </w:p>
        </w:tc>
        <w:tc>
          <w:tcPr>
            <w:tcW w:w="3120" w:type="dxa"/>
            <w:vAlign w:val="bottom"/>
            <w:gridSpan w:val="4"/>
            <w:vMerge w:val="restart"/>
          </w:tcPr>
          <w:p>
            <w:pPr>
              <w:spacing w:after="0"/>
              <w:rPr>
                <w:rFonts w:ascii="Times New Roman" w:cs="Times New Roman" w:eastAsia="Times New Roman" w:hAnsi="Times New Roman"/>
                <w:sz w:val="17"/>
                <w:szCs w:val="17"/>
                <w:color w:val="0000EE"/>
                <w:w w:val="99"/>
              </w:rPr>
            </w:pPr>
            <w:hyperlink r:id="rId121">
              <w:r>
                <w:rPr>
                  <w:rFonts w:ascii="Times New Roman" w:cs="Times New Roman" w:eastAsia="Times New Roman" w:hAnsi="Times New Roman"/>
                  <w:sz w:val="17"/>
                  <w:szCs w:val="17"/>
                  <w:color w:val="0000EE"/>
                  <w:w w:val="99"/>
                </w:rPr>
                <w:t>Certificate of Formation of Capital GP L.L.C.</w:t>
              </w:r>
            </w:hyperlink>
          </w:p>
        </w:tc>
        <w:tc>
          <w:tcPr>
            <w:tcW w:w="160" w:type="dxa"/>
            <w:vAlign w:val="bottom"/>
            <w:tcBorders>
              <w:bottom w:val="single" w:sz="8" w:color="0000EE"/>
            </w:tcBorders>
          </w:tcPr>
          <w:p>
            <w:pPr>
              <w:jc w:val="right"/>
              <w:spacing w:after="0" w:line="143" w:lineRule="exact"/>
              <w:rPr>
                <w:rFonts w:ascii="Times New Roman" w:cs="Times New Roman" w:eastAsia="Times New Roman" w:hAnsi="Times New Roman"/>
                <w:sz w:val="14"/>
                <w:szCs w:val="14"/>
                <w:color w:val="0000EE"/>
                <w:w w:val="85"/>
              </w:rPr>
            </w:pPr>
            <w:hyperlink r:id="rId121">
              <w:r>
                <w:rPr>
                  <w:rFonts w:ascii="Times New Roman" w:cs="Times New Roman" w:eastAsia="Times New Roman" w:hAnsi="Times New Roman"/>
                  <w:sz w:val="14"/>
                  <w:szCs w:val="14"/>
                  <w:color w:val="0000EE"/>
                  <w:w w:val="85"/>
                </w:rPr>
                <w:t>(1)</w:t>
              </w:r>
            </w:hyperlink>
          </w:p>
        </w:tc>
        <w:tc>
          <w:tcPr>
            <w:tcW w:w="2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0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2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3120" w:type="dxa"/>
            <w:vAlign w:val="bottom"/>
            <w:tcBorders>
              <w:bottom w:val="single" w:sz="8" w:color="0000EE"/>
            </w:tcBorders>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EE"/>
                <w:w w:val="97"/>
              </w:rPr>
              <w:t>(1)</w:t>
            </w: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240" w:type="dxa"/>
            <w:vAlign w:val="bottom"/>
            <w:gridSpan w:val="17"/>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1.8</w:t>
            </w:r>
          </w:p>
        </w:tc>
        <w:tc>
          <w:tcPr>
            <w:tcW w:w="4100" w:type="dxa"/>
            <w:vAlign w:val="bottom"/>
            <w:gridSpan w:val="14"/>
            <w:vMerge w:val="restart"/>
          </w:tcPr>
          <w:p>
            <w:pPr>
              <w:spacing w:after="0"/>
              <w:rPr>
                <w:rFonts w:ascii="Times New Roman" w:cs="Times New Roman" w:eastAsia="Times New Roman" w:hAnsi="Times New Roman"/>
                <w:sz w:val="17"/>
                <w:szCs w:val="17"/>
                <w:color w:val="0000EE"/>
                <w:w w:val="98"/>
              </w:rPr>
            </w:pPr>
            <w:hyperlink r:id="rId122">
              <w:r>
                <w:rPr>
                  <w:rFonts w:ascii="Times New Roman" w:cs="Times New Roman" w:eastAsia="Times New Roman" w:hAnsi="Times New Roman"/>
                  <w:sz w:val="17"/>
                  <w:szCs w:val="17"/>
                  <w:color w:val="0000EE"/>
                  <w:w w:val="98"/>
                </w:rPr>
                <w:t>Limited Liability Company Agreement of Capital GP L.L.C.</w:t>
              </w:r>
            </w:hyperlink>
          </w:p>
        </w:tc>
        <w:tc>
          <w:tcPr>
            <w:tcW w:w="180" w:type="dxa"/>
            <w:vAlign w:val="bottom"/>
            <w:tcBorders>
              <w:bottom w:val="single" w:sz="8" w:color="0000EE"/>
            </w:tcBorders>
            <w:gridSpan w:val="2"/>
            <w:vMerge w:val="continue"/>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0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100" w:type="dxa"/>
            <w:vAlign w:val="bottom"/>
            <w:tcBorders>
              <w:bottom w:val="single" w:sz="8" w:color="0000EE"/>
            </w:tcBorders>
            <w:gridSpan w:val="14"/>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(1)</w:t>
            </w: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1.9</w:t>
            </w:r>
          </w:p>
        </w:tc>
        <w:tc>
          <w:tcPr>
            <w:tcW w:w="4380" w:type="dxa"/>
            <w:vAlign w:val="bottom"/>
            <w:gridSpan w:val="18"/>
            <w:vMerge w:val="restart"/>
          </w:tcPr>
          <w:p>
            <w:pPr>
              <w:spacing w:after="0"/>
              <w:rPr>
                <w:rFonts w:ascii="Times New Roman" w:cs="Times New Roman" w:eastAsia="Times New Roman" w:hAnsi="Times New Roman"/>
                <w:sz w:val="17"/>
                <w:szCs w:val="17"/>
                <w:color w:val="0000EE"/>
                <w:w w:val="98"/>
              </w:rPr>
            </w:pPr>
            <w:hyperlink r:id="rId123">
              <w:r>
                <w:rPr>
                  <w:rFonts w:ascii="Times New Roman" w:cs="Times New Roman" w:eastAsia="Times New Roman" w:hAnsi="Times New Roman"/>
                  <w:sz w:val="17"/>
                  <w:szCs w:val="17"/>
                  <w:color w:val="0000EE"/>
                  <w:w w:val="98"/>
                </w:rPr>
                <w:t>Certificate of Formation of Capital Product Operating GP L.L.C.</w:t>
              </w:r>
            </w:hyperlink>
          </w:p>
        </w:tc>
        <w:tc>
          <w:tcPr>
            <w:tcW w:w="160" w:type="dxa"/>
            <w:vAlign w:val="bottom"/>
            <w:tcBorders>
              <w:bottom w:val="single" w:sz="8" w:color="0000EE"/>
            </w:tcBorders>
            <w:gridSpan w:val="3"/>
            <w:vMerge w:val="continue"/>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0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380" w:type="dxa"/>
            <w:vAlign w:val="bottom"/>
            <w:tcBorders>
              <w:bottom w:val="single" w:sz="8" w:color="0000EE"/>
            </w:tcBorders>
            <w:gridSpan w:val="18"/>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2.1</w:t>
            </w:r>
          </w:p>
        </w:tc>
        <w:tc>
          <w:tcPr>
            <w:tcW w:w="8380" w:type="dxa"/>
            <w:vAlign w:val="bottom"/>
            <w:gridSpan w:val="51"/>
          </w:tcPr>
          <w:p>
            <w:pPr>
              <w:spacing w:after="0" w:line="181" w:lineRule="exact"/>
              <w:rPr>
                <w:sz w:val="20"/>
                <w:szCs w:val="20"/>
                <w:color w:val="auto"/>
              </w:rPr>
            </w:pPr>
            <w:r>
              <w:rPr>
                <w:rFonts w:ascii="Times New Roman" w:cs="Times New Roman" w:eastAsia="Times New Roman" w:hAnsi="Times New Roman"/>
                <w:sz w:val="17"/>
                <w:szCs w:val="17"/>
                <w:color w:val="0000EE"/>
              </w:rPr>
              <w:t>Description of Securities registered under Section 12 of the Exchange Act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10620" w:type="dxa"/>
            <w:vAlign w:val="bottom"/>
            <w:gridSpan w:val="68"/>
          </w:tcPr>
          <w:p>
            <w:pPr>
              <w:spacing w:after="0"/>
              <w:rPr>
                <w:sz w:val="20"/>
                <w:szCs w:val="20"/>
                <w:color w:val="auto"/>
              </w:rPr>
            </w:pPr>
            <w:r>
              <w:rPr>
                <w:rFonts w:ascii="Times New Roman" w:cs="Times New Roman" w:eastAsia="Times New Roman" w:hAnsi="Times New Roman"/>
                <w:sz w:val="17"/>
                <w:szCs w:val="17"/>
                <w:color w:val="auto"/>
                <w:w w:val="99"/>
              </w:rPr>
              <w:t>Certain long-term debt instruments, none of which relates to indebtedness that exceeds 10% of the consolidated assets of Capital Product Partners L.P., have</w:t>
            </w:r>
          </w:p>
        </w:tc>
        <w:tc>
          <w:tcPr>
            <w:tcW w:w="0" w:type="dxa"/>
            <w:vAlign w:val="bottom"/>
          </w:tcPr>
          <w:p>
            <w:pPr>
              <w:spacing w:after="0"/>
              <w:rPr>
                <w:sz w:val="1"/>
                <w:szCs w:val="1"/>
                <w:color w:val="auto"/>
              </w:rPr>
            </w:pPr>
          </w:p>
        </w:tc>
      </w:tr>
      <w:tr>
        <w:trPr>
          <w:trHeight w:val="200"/>
        </w:trPr>
        <w:tc>
          <w:tcPr>
            <w:tcW w:w="620" w:type="dxa"/>
            <w:vAlign w:val="bottom"/>
          </w:tcPr>
          <w:p>
            <w:pPr>
              <w:spacing w:after="0"/>
              <w:rPr>
                <w:sz w:val="17"/>
                <w:szCs w:val="17"/>
                <w:color w:val="auto"/>
              </w:rPr>
            </w:pPr>
          </w:p>
        </w:tc>
        <w:tc>
          <w:tcPr>
            <w:tcW w:w="10620" w:type="dxa"/>
            <w:vAlign w:val="bottom"/>
            <w:gridSpan w:val="68"/>
          </w:tcPr>
          <w:p>
            <w:pPr>
              <w:spacing w:after="0"/>
              <w:rPr>
                <w:sz w:val="20"/>
                <w:szCs w:val="20"/>
                <w:color w:val="auto"/>
              </w:rPr>
            </w:pPr>
            <w:r>
              <w:rPr>
                <w:rFonts w:ascii="Times New Roman" w:cs="Times New Roman" w:eastAsia="Times New Roman" w:hAnsi="Times New Roman"/>
                <w:sz w:val="17"/>
                <w:szCs w:val="17"/>
                <w:color w:val="auto"/>
                <w:w w:val="98"/>
              </w:rPr>
              <w:t>not been filed as exhibits to this Form 20-F. Capital Product Partners L.P. agrees to furnish the Securities and Exchange Commission, upon its request, a copy</w:t>
            </w:r>
          </w:p>
        </w:tc>
        <w:tc>
          <w:tcPr>
            <w:tcW w:w="0" w:type="dxa"/>
            <w:vAlign w:val="bottom"/>
          </w:tcPr>
          <w:p>
            <w:pPr>
              <w:spacing w:after="0"/>
              <w:rPr>
                <w:sz w:val="1"/>
                <w:szCs w:val="1"/>
                <w:color w:val="auto"/>
              </w:rPr>
            </w:pPr>
          </w:p>
        </w:tc>
      </w:tr>
      <w:tr>
        <w:trPr>
          <w:trHeight w:val="200"/>
        </w:trPr>
        <w:tc>
          <w:tcPr>
            <w:tcW w:w="620" w:type="dxa"/>
            <w:vAlign w:val="bottom"/>
          </w:tcPr>
          <w:p>
            <w:pPr>
              <w:spacing w:after="0"/>
              <w:rPr>
                <w:sz w:val="17"/>
                <w:szCs w:val="17"/>
                <w:color w:val="auto"/>
              </w:rPr>
            </w:pPr>
          </w:p>
        </w:tc>
        <w:tc>
          <w:tcPr>
            <w:tcW w:w="10620" w:type="dxa"/>
            <w:vAlign w:val="bottom"/>
            <w:gridSpan w:val="68"/>
          </w:tcPr>
          <w:p>
            <w:pPr>
              <w:spacing w:after="0"/>
              <w:rPr>
                <w:sz w:val="20"/>
                <w:szCs w:val="20"/>
                <w:color w:val="auto"/>
              </w:rPr>
            </w:pPr>
            <w:r>
              <w:rPr>
                <w:rFonts w:ascii="Times New Roman" w:cs="Times New Roman" w:eastAsia="Times New Roman" w:hAnsi="Times New Roman"/>
                <w:sz w:val="17"/>
                <w:szCs w:val="17"/>
                <w:color w:val="auto"/>
              </w:rPr>
              <w:t>of any such instrument defining the rights of holders of long-term debt of Capital Product Partners L.P. and its consolidated subsidiaries.</w:t>
            </w:r>
          </w:p>
        </w:tc>
        <w:tc>
          <w:tcPr>
            <w:tcW w:w="0" w:type="dxa"/>
            <w:vAlign w:val="bottom"/>
          </w:tcPr>
          <w:p>
            <w:pPr>
              <w:spacing w:after="0"/>
              <w:rPr>
                <w:sz w:val="1"/>
                <w:szCs w:val="1"/>
                <w:color w:val="auto"/>
              </w:rPr>
            </w:pPr>
          </w:p>
        </w:tc>
      </w:tr>
      <w:tr>
        <w:trPr>
          <w:trHeight w:val="179"/>
        </w:trPr>
        <w:tc>
          <w:tcPr>
            <w:tcW w:w="62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4.1</w:t>
            </w:r>
          </w:p>
        </w:tc>
        <w:tc>
          <w:tcPr>
            <w:tcW w:w="10620" w:type="dxa"/>
            <w:vAlign w:val="bottom"/>
            <w:gridSpan w:val="68"/>
          </w:tcPr>
          <w:p>
            <w:pPr>
              <w:spacing w:after="0" w:line="180"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Deed of Amendment and Restatement relating to the Loan Agreement with Hamburg Commercial Bank AG and ING Bank N.V., London Branch, dated</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98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7"/>
                <w:szCs w:val="17"/>
                <w:color w:val="0000EE"/>
                <w:w w:val="96"/>
              </w:rPr>
            </w:pPr>
            <w:hyperlink r:id="rId124">
              <w:r>
                <w:rPr>
                  <w:rFonts w:ascii="Times New Roman" w:cs="Times New Roman" w:eastAsia="Times New Roman" w:hAnsi="Times New Roman"/>
                  <w:sz w:val="17"/>
                  <w:szCs w:val="17"/>
                  <w:color w:val="0000EE"/>
                  <w:w w:val="96"/>
                </w:rPr>
                <w:t>March 8, 2019</w:t>
              </w:r>
            </w:hyperlink>
          </w:p>
        </w:tc>
        <w:tc>
          <w:tcPr>
            <w:tcW w:w="240" w:type="dxa"/>
            <w:vAlign w:val="bottom"/>
            <w:tcBorders>
              <w:top w:val="single" w:sz="8" w:color="0000EE"/>
              <w:bottom w:val="single" w:sz="8" w:color="0000EE"/>
            </w:tcBorders>
            <w:gridSpan w:val="2"/>
          </w:tcPr>
          <w:p>
            <w:pPr>
              <w:jc w:val="right"/>
              <w:spacing w:after="0" w:line="143" w:lineRule="exact"/>
              <w:rPr>
                <w:rFonts w:ascii="Times New Roman" w:cs="Times New Roman" w:eastAsia="Times New Roman" w:hAnsi="Times New Roman"/>
                <w:sz w:val="14"/>
                <w:szCs w:val="14"/>
                <w:color w:val="0000EE"/>
                <w:w w:val="94"/>
              </w:rPr>
            </w:pPr>
            <w:hyperlink r:id="rId124">
              <w:r>
                <w:rPr>
                  <w:rFonts w:ascii="Times New Roman" w:cs="Times New Roman" w:eastAsia="Times New Roman" w:hAnsi="Times New Roman"/>
                  <w:sz w:val="14"/>
                  <w:szCs w:val="14"/>
                  <w:color w:val="0000EE"/>
                  <w:w w:val="94"/>
                </w:rPr>
                <w:t>(11)</w:t>
              </w:r>
            </w:hyperlink>
          </w:p>
        </w:tc>
        <w:tc>
          <w:tcPr>
            <w:tcW w:w="2280" w:type="dxa"/>
            <w:vAlign w:val="bottom"/>
            <w:tcBorders>
              <w:top w:val="single" w:sz="8" w:color="0000EE"/>
              <w:bottom w:val="single" w:sz="8" w:color="0000EE"/>
            </w:tcBorders>
            <w:gridSpan w:val="3"/>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gridSpan w:val="2"/>
            <w:vMerge w:val="restart"/>
          </w:tcPr>
          <w:p>
            <w:pPr>
              <w:spacing w:after="0"/>
              <w:rPr>
                <w:sz w:val="13"/>
                <w:szCs w:val="13"/>
                <w:color w:val="auto"/>
              </w:rPr>
            </w:pPr>
          </w:p>
        </w:tc>
        <w:tc>
          <w:tcPr>
            <w:tcW w:w="100" w:type="dxa"/>
            <w:vAlign w:val="bottom"/>
            <w:tcBorders>
              <w:top w:val="single" w:sz="8" w:color="0000EE"/>
              <w:bottom w:val="single" w:sz="8" w:color="0000EE"/>
            </w:tcBorders>
            <w:gridSpan w:val="2"/>
            <w:vMerge w:val="restart"/>
          </w:tcPr>
          <w:p>
            <w:pPr>
              <w:spacing w:after="0"/>
              <w:rPr>
                <w:sz w:val="13"/>
                <w:szCs w:val="13"/>
                <w:color w:val="auto"/>
              </w:rPr>
            </w:pPr>
          </w:p>
        </w:tc>
        <w:tc>
          <w:tcPr>
            <w:tcW w:w="140" w:type="dxa"/>
            <w:vAlign w:val="bottom"/>
            <w:tcBorders>
              <w:top w:val="single" w:sz="8" w:color="0000EE"/>
              <w:bottom w:val="single" w:sz="8" w:color="0000EE"/>
            </w:tcBorders>
            <w:gridSpan w:val="2"/>
            <w:vMerge w:val="restart"/>
          </w:tcPr>
          <w:p>
            <w:pPr>
              <w:spacing w:after="0"/>
              <w:rPr>
                <w:sz w:val="13"/>
                <w:szCs w:val="13"/>
                <w:color w:val="auto"/>
              </w:rPr>
            </w:pPr>
          </w:p>
        </w:tc>
        <w:tc>
          <w:tcPr>
            <w:tcW w:w="120" w:type="dxa"/>
            <w:vAlign w:val="bottom"/>
            <w:tcBorders>
              <w:top w:val="single" w:sz="8" w:color="0000EE"/>
              <w:bottom w:val="single" w:sz="8" w:color="0000EE"/>
            </w:tcBorders>
            <w:gridSpan w:val="3"/>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106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68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vMerge w:val="restart"/>
          </w:tcPr>
          <w:p>
            <w:pPr>
              <w:spacing w:after="0"/>
              <w:rPr>
                <w:sz w:val="13"/>
                <w:szCs w:val="13"/>
                <w:color w:val="auto"/>
              </w:rPr>
            </w:pPr>
          </w:p>
        </w:tc>
        <w:tc>
          <w:tcPr>
            <w:tcW w:w="1800" w:type="dxa"/>
            <w:vAlign w:val="bottom"/>
            <w:tcBorders>
              <w:top w:val="single" w:sz="8" w:color="0000EE"/>
            </w:tcBorders>
            <w:gridSpan w:val="11"/>
          </w:tcPr>
          <w:p>
            <w:pPr>
              <w:spacing w:after="0"/>
              <w:rPr>
                <w:sz w:val="13"/>
                <w:szCs w:val="13"/>
                <w:color w:val="auto"/>
              </w:rPr>
            </w:pPr>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20" w:type="dxa"/>
            <w:vAlign w:val="bottom"/>
          </w:tcPr>
          <w:p>
            <w:pPr>
              <w:spacing w:after="0"/>
              <w:rPr>
                <w:sz w:val="3"/>
                <w:szCs w:val="3"/>
                <w:color w:val="auto"/>
              </w:rPr>
            </w:pPr>
          </w:p>
        </w:tc>
        <w:tc>
          <w:tcPr>
            <w:tcW w:w="98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228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240" w:type="dxa"/>
            <w:vAlign w:val="bottom"/>
            <w:gridSpan w:val="17"/>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7980" w:type="dxa"/>
            <w:vAlign w:val="bottom"/>
            <w:tcBorders>
              <w:bottom w:val="single" w:sz="8" w:color="0000EE"/>
            </w:tcBorders>
            <w:gridSpan w:val="49"/>
          </w:tcPr>
          <w:p>
            <w:pPr>
              <w:spacing w:after="0" w:line="181" w:lineRule="exact"/>
              <w:rPr>
                <w:sz w:val="20"/>
                <w:szCs w:val="20"/>
                <w:color w:val="auto"/>
              </w:rPr>
            </w:pPr>
            <w:r>
              <w:rPr>
                <w:rFonts w:ascii="Times New Roman" w:cs="Times New Roman" w:eastAsia="Times New Roman" w:hAnsi="Times New Roman"/>
                <w:sz w:val="17"/>
                <w:szCs w:val="17"/>
                <w:color w:val="0000EE"/>
                <w:w w:val="98"/>
              </w:rPr>
              <w:t>Loan Agreement , dated October 6, 2022, between Capital Product Partners L.P. and Hamburg Commercial Bank A.G.</w:t>
            </w:r>
          </w:p>
        </w:tc>
        <w:tc>
          <w:tcPr>
            <w:tcW w:w="4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0620" w:type="dxa"/>
            <w:vAlign w:val="bottom"/>
            <w:gridSpan w:val="68"/>
          </w:tcPr>
          <w:p>
            <w:pPr>
              <w:spacing w:after="0" w:line="181"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Deed of Accession, Amendment and Restatement dated September 10, 2021, among Atrotos Gas Carrier Corp., Capital Gas LLC, Capital Product Partners</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6280" w:type="dxa"/>
            <w:vAlign w:val="bottom"/>
            <w:tcBorders>
              <w:top w:val="single" w:sz="8" w:color="0000EE"/>
              <w:bottom w:val="single" w:sz="8" w:color="0000EE"/>
            </w:tcBorders>
            <w:gridSpan w:val="30"/>
            <w:vMerge w:val="restart"/>
          </w:tcPr>
          <w:p>
            <w:pPr>
              <w:spacing w:after="0"/>
              <w:rPr>
                <w:rFonts w:ascii="Times New Roman" w:cs="Times New Roman" w:eastAsia="Times New Roman" w:hAnsi="Times New Roman"/>
                <w:sz w:val="17"/>
                <w:szCs w:val="17"/>
                <w:color w:val="0000EE"/>
                <w:w w:val="97"/>
              </w:rPr>
            </w:pPr>
            <w:hyperlink r:id="rId125">
              <w:r>
                <w:rPr>
                  <w:rFonts w:ascii="Times New Roman" w:cs="Times New Roman" w:eastAsia="Times New Roman" w:hAnsi="Times New Roman"/>
                  <w:sz w:val="17"/>
                  <w:szCs w:val="17"/>
                  <w:color w:val="0000EE"/>
                  <w:w w:val="97"/>
                </w:rPr>
                <w:t>L.P. and ING Bank N.V., London Branch, relating to a facility agreement December 18, 2020</w:t>
              </w:r>
            </w:hyperlink>
          </w:p>
        </w:tc>
        <w:tc>
          <w:tcPr>
            <w:tcW w:w="240" w:type="dxa"/>
            <w:vAlign w:val="bottom"/>
            <w:tcBorders>
              <w:top w:val="single" w:sz="8" w:color="0000EE"/>
              <w:bottom w:val="single" w:sz="8" w:color="0000EE"/>
            </w:tcBorders>
            <w:gridSpan w:val="5"/>
          </w:tcPr>
          <w:p>
            <w:pPr>
              <w:jc w:val="right"/>
              <w:spacing w:after="0" w:line="143" w:lineRule="exact"/>
              <w:rPr>
                <w:rFonts w:ascii="Times New Roman" w:cs="Times New Roman" w:eastAsia="Times New Roman" w:hAnsi="Times New Roman"/>
                <w:sz w:val="14"/>
                <w:szCs w:val="14"/>
                <w:color w:val="0000EE"/>
                <w:w w:val="94"/>
              </w:rPr>
            </w:pPr>
            <w:hyperlink r:id="rId125">
              <w:r>
                <w:rPr>
                  <w:rFonts w:ascii="Times New Roman" w:cs="Times New Roman" w:eastAsia="Times New Roman" w:hAnsi="Times New Roman"/>
                  <w:sz w:val="14"/>
                  <w:szCs w:val="14"/>
                  <w:color w:val="0000EE"/>
                  <w:w w:val="94"/>
                </w:rPr>
                <w:t>(15)</w:t>
              </w:r>
            </w:hyperlink>
          </w:p>
        </w:tc>
        <w:tc>
          <w:tcPr>
            <w:tcW w:w="20" w:type="dxa"/>
            <w:vAlign w:val="bottom"/>
            <w:tcBorders>
              <w:top w:val="single" w:sz="8" w:color="0000EE"/>
              <w:bottom w:val="single" w:sz="8" w:color="0000EE"/>
            </w:tcBorders>
          </w:tcPr>
          <w:p>
            <w:pPr>
              <w:spacing w:after="0"/>
              <w:rPr>
                <w:sz w:val="13"/>
                <w:szCs w:val="13"/>
                <w:color w:val="auto"/>
              </w:rPr>
            </w:pPr>
          </w:p>
        </w:tc>
        <w:tc>
          <w:tcPr>
            <w:tcW w:w="100" w:type="dxa"/>
            <w:vAlign w:val="bottom"/>
            <w:tcBorders>
              <w:top w:val="single" w:sz="8" w:color="0000EE"/>
              <w:bottom w:val="single" w:sz="8" w:color="0000EE"/>
            </w:tcBorders>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120" w:type="dxa"/>
            <w:vAlign w:val="bottom"/>
            <w:tcBorders>
              <w:top w:val="single" w:sz="8" w:color="0000EE"/>
              <w:bottom w:val="single" w:sz="8" w:color="0000EE"/>
            </w:tcBorders>
          </w:tcPr>
          <w:p>
            <w:pPr>
              <w:spacing w:after="0"/>
              <w:rPr>
                <w:sz w:val="13"/>
                <w:szCs w:val="13"/>
                <w:color w:val="auto"/>
              </w:rPr>
            </w:pPr>
          </w:p>
        </w:tc>
        <w:tc>
          <w:tcPr>
            <w:tcW w:w="40" w:type="dxa"/>
            <w:vAlign w:val="bottom"/>
            <w:tcBorders>
              <w:top w:val="single" w:sz="8" w:color="0000EE"/>
              <w:bottom w:val="single" w:sz="8" w:color="0000EE"/>
            </w:tcBorders>
          </w:tcPr>
          <w:p>
            <w:pPr>
              <w:spacing w:after="0"/>
              <w:rPr>
                <w:sz w:val="13"/>
                <w:szCs w:val="13"/>
                <w:color w:val="auto"/>
              </w:rPr>
            </w:pPr>
          </w:p>
        </w:tc>
        <w:tc>
          <w:tcPr>
            <w:tcW w:w="680" w:type="dxa"/>
            <w:vAlign w:val="bottom"/>
            <w:tcBorders>
              <w:top w:val="single" w:sz="8" w:color="0000EE"/>
              <w:bottom w:val="single" w:sz="8" w:color="0000EE"/>
            </w:tcBorders>
          </w:tcPr>
          <w:p>
            <w:pPr>
              <w:spacing w:after="0"/>
              <w:rPr>
                <w:sz w:val="13"/>
                <w:szCs w:val="13"/>
                <w:color w:val="auto"/>
              </w:rPr>
            </w:pPr>
          </w:p>
        </w:tc>
        <w:tc>
          <w:tcPr>
            <w:tcW w:w="60" w:type="dxa"/>
            <w:vAlign w:val="bottom"/>
            <w:tcBorders>
              <w:top w:val="single" w:sz="8" w:color="0000EE"/>
              <w:bottom w:val="single" w:sz="8" w:color="0000EE"/>
            </w:tcBorders>
          </w:tcPr>
          <w:p>
            <w:pPr>
              <w:spacing w:after="0"/>
              <w:rPr>
                <w:sz w:val="13"/>
                <w:szCs w:val="13"/>
                <w:color w:val="auto"/>
              </w:rPr>
            </w:pPr>
          </w:p>
        </w:tc>
        <w:tc>
          <w:tcPr>
            <w:tcW w:w="140" w:type="dxa"/>
            <w:vAlign w:val="bottom"/>
            <w:tcBorders>
              <w:top w:val="single" w:sz="8" w:color="0000EE"/>
              <w:bottom w:val="single" w:sz="8" w:color="0000EE"/>
            </w:tcBorders>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60" w:type="dxa"/>
            <w:vAlign w:val="bottom"/>
            <w:tcBorders>
              <w:top w:val="single" w:sz="8" w:color="0000EE"/>
              <w:bottom w:val="single" w:sz="8" w:color="0000EE"/>
            </w:tcBorders>
          </w:tcPr>
          <w:p>
            <w:pPr>
              <w:spacing w:after="0"/>
              <w:rPr>
                <w:sz w:val="13"/>
                <w:szCs w:val="13"/>
                <w:color w:val="auto"/>
              </w:rPr>
            </w:pPr>
          </w:p>
        </w:tc>
        <w:tc>
          <w:tcPr>
            <w:tcW w:w="60" w:type="dxa"/>
            <w:vAlign w:val="bottom"/>
            <w:tcBorders>
              <w:top w:val="single" w:sz="8" w:color="0000EE"/>
              <w:bottom w:val="single" w:sz="8" w:color="0000EE"/>
            </w:tcBorders>
          </w:tcPr>
          <w:p>
            <w:pPr>
              <w:spacing w:after="0"/>
              <w:rPr>
                <w:sz w:val="13"/>
                <w:szCs w:val="13"/>
                <w:color w:val="auto"/>
              </w:rPr>
            </w:pPr>
          </w:p>
        </w:tc>
        <w:tc>
          <w:tcPr>
            <w:tcW w:w="100" w:type="dxa"/>
            <w:vAlign w:val="bottom"/>
            <w:tcBorders>
              <w:top w:val="single" w:sz="8" w:color="0000EE"/>
              <w:bottom w:val="single" w:sz="8" w:color="0000EE"/>
            </w:tcBorders>
          </w:tcPr>
          <w:p>
            <w:pPr>
              <w:spacing w:after="0"/>
              <w:rPr>
                <w:sz w:val="13"/>
                <w:szCs w:val="13"/>
                <w:color w:val="auto"/>
              </w:rPr>
            </w:pPr>
          </w:p>
        </w:tc>
        <w:tc>
          <w:tcPr>
            <w:tcW w:w="240" w:type="dxa"/>
            <w:vAlign w:val="bottom"/>
            <w:tcBorders>
              <w:top w:val="single" w:sz="8" w:color="0000EE"/>
              <w:bottom w:val="single" w:sz="8" w:color="0000EE"/>
            </w:tcBorders>
            <w:gridSpan w:val="2"/>
          </w:tcPr>
          <w:p>
            <w:pPr>
              <w:spacing w:after="0"/>
              <w:rPr>
                <w:sz w:val="13"/>
                <w:szCs w:val="13"/>
                <w:color w:val="auto"/>
              </w:rPr>
            </w:pPr>
          </w:p>
        </w:tc>
        <w:tc>
          <w:tcPr>
            <w:tcW w:w="180" w:type="dxa"/>
            <w:vAlign w:val="bottom"/>
            <w:tcBorders>
              <w:top w:val="single" w:sz="8" w:color="0000EE"/>
              <w:bottom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20" w:type="dxa"/>
            <w:vAlign w:val="bottom"/>
          </w:tcPr>
          <w:p>
            <w:pPr>
              <w:spacing w:after="0"/>
              <w:rPr>
                <w:sz w:val="3"/>
                <w:szCs w:val="3"/>
                <w:color w:val="auto"/>
              </w:rPr>
            </w:pPr>
          </w:p>
        </w:tc>
        <w:tc>
          <w:tcPr>
            <w:tcW w:w="6280" w:type="dxa"/>
            <w:vAlign w:val="bottom"/>
            <w:tcBorders>
              <w:bottom w:val="single" w:sz="8" w:color="0000EE"/>
            </w:tcBorders>
            <w:gridSpan w:val="30"/>
            <w:vMerge w:val="continue"/>
          </w:tcPr>
          <w:p>
            <w:pPr>
              <w:spacing w:after="0"/>
              <w:rPr>
                <w:sz w:val="3"/>
                <w:szCs w:val="3"/>
                <w:color w:val="auto"/>
              </w:rPr>
            </w:pPr>
          </w:p>
        </w:tc>
        <w:tc>
          <w:tcPr>
            <w:tcW w:w="20" w:type="dxa"/>
            <w:vAlign w:val="bottom"/>
          </w:tcPr>
          <w:p>
            <w:pPr>
              <w:spacing w:after="0"/>
              <w:rPr>
                <w:sz w:val="3"/>
                <w:szCs w:val="3"/>
                <w:color w:val="auto"/>
              </w:rPr>
            </w:pPr>
          </w:p>
        </w:tc>
        <w:tc>
          <w:tcPr>
            <w:tcW w:w="4320" w:type="dxa"/>
            <w:vAlign w:val="bottom"/>
            <w:gridSpan w:val="37"/>
            <w:vMerge w:val="restart"/>
          </w:tcPr>
          <w:p>
            <w:pPr>
              <w:ind w:left="80"/>
              <w:spacing w:after="0"/>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Product Partners L.P. and ING Bank N.V., London Branch,</w:t>
              </w:r>
            </w:hyperlink>
          </w:p>
        </w:tc>
        <w:tc>
          <w:tcPr>
            <w:tcW w:w="0" w:type="dxa"/>
            <w:vAlign w:val="bottom"/>
          </w:tcPr>
          <w:p>
            <w:pPr>
              <w:spacing w:after="0"/>
              <w:rPr>
                <w:sz w:val="1"/>
                <w:szCs w:val="1"/>
                <w:color w:val="auto"/>
              </w:rPr>
            </w:pPr>
          </w:p>
        </w:tc>
      </w:tr>
      <w:tr>
        <w:trPr>
          <w:trHeight w:val="168"/>
        </w:trPr>
        <w:tc>
          <w:tcPr>
            <w:tcW w:w="620" w:type="dxa"/>
            <w:vAlign w:val="bottom"/>
          </w:tcPr>
          <w:p>
            <w:pPr>
              <w:spacing w:after="0" w:line="155" w:lineRule="exact"/>
              <w:rPr>
                <w:sz w:val="20"/>
                <w:szCs w:val="20"/>
                <w:color w:val="auto"/>
              </w:rPr>
            </w:pPr>
            <w:r>
              <w:rPr>
                <w:rFonts w:ascii="Times New Roman" w:cs="Times New Roman" w:eastAsia="Times New Roman" w:hAnsi="Times New Roman"/>
                <w:sz w:val="17"/>
                <w:szCs w:val="17"/>
                <w:color w:val="auto"/>
              </w:rPr>
              <w:t>4.4</w:t>
            </w:r>
          </w:p>
        </w:tc>
        <w:tc>
          <w:tcPr>
            <w:tcW w:w="6280" w:type="dxa"/>
            <w:vAlign w:val="bottom"/>
            <w:gridSpan w:val="30"/>
          </w:tcPr>
          <w:p>
            <w:pPr>
              <w:spacing w:after="0" w:line="155" w:lineRule="exact"/>
              <w:rPr>
                <w:rFonts w:ascii="Times New Roman" w:cs="Times New Roman" w:eastAsia="Times New Roman" w:hAnsi="Times New Roman"/>
                <w:sz w:val="17"/>
                <w:szCs w:val="17"/>
                <w:color w:val="0000EE"/>
                <w:w w:val="96"/>
              </w:rPr>
            </w:pPr>
            <w:hyperlink r:id="rId126">
              <w:r>
                <w:rPr>
                  <w:rFonts w:ascii="Times New Roman" w:cs="Times New Roman" w:eastAsia="Times New Roman" w:hAnsi="Times New Roman"/>
                  <w:sz w:val="17"/>
                  <w:szCs w:val="17"/>
                  <w:color w:val="0000EE"/>
                  <w:w w:val="96"/>
                </w:rPr>
                <w:t>Form of Amended and Restated Term Loan Facility, among Atrotos Gas Carrier Corp., Capital</w:t>
              </w:r>
            </w:hyperlink>
          </w:p>
        </w:tc>
        <w:tc>
          <w:tcPr>
            <w:tcW w:w="20" w:type="dxa"/>
            <w:vAlign w:val="bottom"/>
          </w:tcPr>
          <w:p>
            <w:pPr>
              <w:spacing w:after="0"/>
              <w:rPr>
                <w:sz w:val="14"/>
                <w:szCs w:val="14"/>
                <w:color w:val="auto"/>
              </w:rPr>
            </w:pPr>
          </w:p>
        </w:tc>
        <w:tc>
          <w:tcPr>
            <w:tcW w:w="4320" w:type="dxa"/>
            <w:vAlign w:val="bottom"/>
            <w:gridSpan w:val="3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860" w:type="dxa"/>
            <w:vAlign w:val="bottom"/>
            <w:tcBorders>
              <w:top w:val="single" w:sz="8" w:color="0000EE"/>
              <w:bottom w:val="single" w:sz="8" w:color="0000EE"/>
            </w:tcBorders>
            <w:gridSpan w:val="10"/>
            <w:vMerge w:val="restart"/>
          </w:tcPr>
          <w:p>
            <w:pPr>
              <w:spacing w:after="0"/>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relating to a facility agreement dated December 18, 2020</w:t>
              </w:r>
            </w:hyperlink>
          </w:p>
        </w:tc>
        <w:tc>
          <w:tcPr>
            <w:tcW w:w="220" w:type="dxa"/>
            <w:vAlign w:val="bottom"/>
            <w:tcBorders>
              <w:top w:val="single" w:sz="8" w:color="0000EE"/>
              <w:bottom w:val="single" w:sz="8" w:color="0000EE"/>
            </w:tcBorders>
            <w:gridSpan w:val="3"/>
          </w:tcPr>
          <w:p>
            <w:pPr>
              <w:jc w:val="right"/>
              <w:spacing w:after="0" w:line="143" w:lineRule="exact"/>
              <w:rPr>
                <w:rFonts w:ascii="Times New Roman" w:cs="Times New Roman" w:eastAsia="Times New Roman" w:hAnsi="Times New Roman"/>
                <w:sz w:val="14"/>
                <w:szCs w:val="14"/>
                <w:color w:val="0000EE"/>
                <w:w w:val="85"/>
              </w:rPr>
            </w:pPr>
            <w:hyperlink r:id="rId126">
              <w:r>
                <w:rPr>
                  <w:rFonts w:ascii="Times New Roman" w:cs="Times New Roman" w:eastAsia="Times New Roman" w:hAnsi="Times New Roman"/>
                  <w:sz w:val="14"/>
                  <w:szCs w:val="14"/>
                  <w:color w:val="0000EE"/>
                  <w:w w:val="85"/>
                </w:rPr>
                <w:t>(15)</w:t>
              </w:r>
            </w:hyperlink>
          </w:p>
        </w:tc>
        <w:tc>
          <w:tcPr>
            <w:tcW w:w="120" w:type="dxa"/>
            <w:vAlign w:val="bottom"/>
            <w:tcBorders>
              <w:top w:val="single" w:sz="8" w:color="0000EE"/>
              <w:bottom w:val="single" w:sz="8" w:color="0000EE"/>
            </w:tcBorders>
            <w:gridSpan w:val="2"/>
            <w:vMerge w:val="restart"/>
          </w:tcPr>
          <w:p>
            <w:pPr>
              <w:spacing w:after="0"/>
              <w:rPr>
                <w:sz w:val="13"/>
                <w:szCs w:val="13"/>
                <w:color w:val="auto"/>
              </w:rPr>
            </w:pPr>
          </w:p>
        </w:tc>
        <w:tc>
          <w:tcPr>
            <w:tcW w:w="100" w:type="dxa"/>
            <w:vAlign w:val="bottom"/>
            <w:tcBorders>
              <w:top w:val="single" w:sz="8" w:color="0000EE"/>
              <w:bottom w:val="single" w:sz="8" w:color="0000EE"/>
            </w:tcBorders>
            <w:gridSpan w:val="2"/>
            <w:vMerge w:val="restart"/>
          </w:tcPr>
          <w:p>
            <w:pPr>
              <w:spacing w:after="0"/>
              <w:rPr>
                <w:sz w:val="13"/>
                <w:szCs w:val="13"/>
                <w:color w:val="auto"/>
              </w:rPr>
            </w:pPr>
          </w:p>
        </w:tc>
        <w:tc>
          <w:tcPr>
            <w:tcW w:w="140" w:type="dxa"/>
            <w:vAlign w:val="bottom"/>
            <w:tcBorders>
              <w:top w:val="single" w:sz="8" w:color="0000EE"/>
              <w:bottom w:val="single" w:sz="8" w:color="0000EE"/>
            </w:tcBorders>
            <w:gridSpan w:val="2"/>
            <w:vMerge w:val="restart"/>
          </w:tcPr>
          <w:p>
            <w:pPr>
              <w:spacing w:after="0"/>
              <w:rPr>
                <w:sz w:val="13"/>
                <w:szCs w:val="13"/>
                <w:color w:val="auto"/>
              </w:rPr>
            </w:pPr>
          </w:p>
        </w:tc>
        <w:tc>
          <w:tcPr>
            <w:tcW w:w="120" w:type="dxa"/>
            <w:vAlign w:val="bottom"/>
            <w:tcBorders>
              <w:top w:val="single" w:sz="8" w:color="0000EE"/>
              <w:bottom w:val="single" w:sz="8" w:color="0000EE"/>
            </w:tcBorders>
            <w:gridSpan w:val="3"/>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tcBorders>
            <w:gridSpan w:val="2"/>
          </w:tcPr>
          <w:p>
            <w:pPr>
              <w:spacing w:after="0"/>
              <w:rPr>
                <w:sz w:val="13"/>
                <w:szCs w:val="13"/>
                <w:color w:val="auto"/>
              </w:rPr>
            </w:pPr>
          </w:p>
        </w:tc>
        <w:tc>
          <w:tcPr>
            <w:tcW w:w="106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gridSpan w:val="2"/>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gridSpan w:val="2"/>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68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240" w:type="dxa"/>
            <w:vAlign w:val="bottom"/>
            <w:tcBorders>
              <w:top w:val="single" w:sz="8" w:color="0000EE"/>
              <w:bottom w:val="single" w:sz="8" w:color="0000EE"/>
            </w:tcBorders>
            <w:gridSpan w:val="2"/>
            <w:vMerge w:val="restart"/>
          </w:tcPr>
          <w:p>
            <w:pPr>
              <w:spacing w:after="0"/>
              <w:rPr>
                <w:sz w:val="13"/>
                <w:szCs w:val="13"/>
                <w:color w:val="auto"/>
              </w:rPr>
            </w:pPr>
          </w:p>
        </w:tc>
        <w:tc>
          <w:tcPr>
            <w:tcW w:w="18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w:t>
            </w:r>
          </w:p>
        </w:tc>
        <w:tc>
          <w:tcPr>
            <w:tcW w:w="3860" w:type="dxa"/>
            <w:vAlign w:val="bottom"/>
            <w:tcBorders>
              <w:bottom w:val="single" w:sz="8" w:color="0000EE"/>
            </w:tcBorders>
            <w:gridSpan w:val="10"/>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(4)</w:t>
            </w: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4860" w:type="dxa"/>
            <w:vAlign w:val="bottom"/>
            <w:gridSpan w:val="25"/>
            <w:vMerge w:val="restart"/>
          </w:tcPr>
          <w:p>
            <w:pPr>
              <w:spacing w:after="0"/>
              <w:rPr>
                <w:rFonts w:ascii="Times New Roman" w:cs="Times New Roman" w:eastAsia="Times New Roman" w:hAnsi="Times New Roman"/>
                <w:sz w:val="17"/>
                <w:szCs w:val="17"/>
                <w:color w:val="0000EE"/>
                <w:w w:val="98"/>
              </w:rPr>
            </w:pPr>
            <w:hyperlink r:id="rId127">
              <w:r>
                <w:rPr>
                  <w:rFonts w:ascii="Times New Roman" w:cs="Times New Roman" w:eastAsia="Times New Roman" w:hAnsi="Times New Roman"/>
                  <w:sz w:val="17"/>
                  <w:szCs w:val="17"/>
                  <w:color w:val="0000EE"/>
                  <w:w w:val="98"/>
                </w:rPr>
                <w:t>Amended and Restated Omnibus Agreement, dated September 30, 2011</w:t>
              </w:r>
            </w:hyperlink>
          </w:p>
        </w:tc>
        <w:tc>
          <w:tcPr>
            <w:tcW w:w="160" w:type="dxa"/>
            <w:vAlign w:val="bottom"/>
            <w:tcBorders>
              <w:bottom w:val="single" w:sz="8" w:color="0000EE"/>
            </w:tcBorders>
            <w:gridSpan w:val="2"/>
            <w:vMerge w:val="continue"/>
          </w:tcPr>
          <w:p>
            <w:pPr>
              <w:spacing w:after="0"/>
              <w:rPr>
                <w:sz w:val="12"/>
                <w:szCs w:val="12"/>
                <w:color w:val="auto"/>
              </w:rPr>
            </w:pPr>
          </w:p>
        </w:tc>
        <w:tc>
          <w:tcPr>
            <w:tcW w:w="10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6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860" w:type="dxa"/>
            <w:vAlign w:val="bottom"/>
            <w:tcBorders>
              <w:bottom w:val="single" w:sz="8" w:color="0000EE"/>
            </w:tcBorders>
            <w:gridSpan w:val="25"/>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94"/>
              </w:rPr>
              <w:t>(12)</w:t>
            </w: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4.6</w:t>
            </w:r>
          </w:p>
        </w:tc>
        <w:tc>
          <w:tcPr>
            <w:tcW w:w="6540" w:type="dxa"/>
            <w:vAlign w:val="bottom"/>
            <w:gridSpan w:val="36"/>
            <w:vMerge w:val="restart"/>
          </w:tcPr>
          <w:p>
            <w:pPr>
              <w:spacing w:after="0"/>
              <w:rPr>
                <w:rFonts w:ascii="Times New Roman" w:cs="Times New Roman" w:eastAsia="Times New Roman" w:hAnsi="Times New Roman"/>
                <w:sz w:val="17"/>
                <w:szCs w:val="17"/>
                <w:color w:val="0000EE"/>
                <w:w w:val="99"/>
              </w:rPr>
            </w:pPr>
            <w:hyperlink r:id="rId128">
              <w:r>
                <w:rPr>
                  <w:rFonts w:ascii="Times New Roman" w:cs="Times New Roman" w:eastAsia="Times New Roman" w:hAnsi="Times New Roman"/>
                  <w:sz w:val="17"/>
                  <w:szCs w:val="17"/>
                  <w:color w:val="0000EE"/>
                  <w:w w:val="99"/>
                </w:rPr>
                <w:t>Form of Floating Rate Management Agreement with Capital-Executive Ship Management Corp.</w:t>
              </w:r>
            </w:hyperlink>
          </w:p>
        </w:tc>
        <w:tc>
          <w:tcPr>
            <w:tcW w:w="240" w:type="dxa"/>
            <w:vAlign w:val="bottom"/>
            <w:tcBorders>
              <w:bottom w:val="single" w:sz="8" w:color="0000EE"/>
            </w:tcBorders>
            <w:gridSpan w:val="3"/>
            <w:vMerge w:val="continue"/>
          </w:tcPr>
          <w:p>
            <w:pPr>
              <w:spacing w:after="0"/>
              <w:rPr>
                <w:sz w:val="13"/>
                <w:szCs w:val="13"/>
                <w:color w:val="auto"/>
              </w:rPr>
            </w:pPr>
          </w:p>
        </w:tc>
        <w:tc>
          <w:tcPr>
            <w:tcW w:w="4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6540" w:type="dxa"/>
            <w:vAlign w:val="bottom"/>
            <w:tcBorders>
              <w:bottom w:val="single" w:sz="8" w:color="0000EE"/>
            </w:tcBorders>
            <w:gridSpan w:val="36"/>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4.7</w:t>
            </w:r>
          </w:p>
        </w:tc>
        <w:tc>
          <w:tcPr>
            <w:tcW w:w="6080" w:type="dxa"/>
            <w:vAlign w:val="bottom"/>
            <w:gridSpan w:val="28"/>
            <w:vMerge w:val="restart"/>
          </w:tcPr>
          <w:p>
            <w:pPr>
              <w:spacing w:after="0"/>
              <w:rPr>
                <w:rFonts w:ascii="Times New Roman" w:cs="Times New Roman" w:eastAsia="Times New Roman" w:hAnsi="Times New Roman"/>
                <w:sz w:val="17"/>
                <w:szCs w:val="17"/>
                <w:color w:val="0000EE"/>
                <w:w w:val="98"/>
              </w:rPr>
            </w:pPr>
            <w:hyperlink r:id="rId129">
              <w:r>
                <w:rPr>
                  <w:rFonts w:ascii="Times New Roman" w:cs="Times New Roman" w:eastAsia="Times New Roman" w:hAnsi="Times New Roman"/>
                  <w:sz w:val="17"/>
                  <w:szCs w:val="17"/>
                  <w:color w:val="0000EE"/>
                  <w:w w:val="98"/>
                </w:rPr>
                <w:t>Form of Floating Rate Management Agreement with Capital Gas Ship Management Corp.</w:t>
              </w:r>
            </w:hyperlink>
          </w:p>
        </w:tc>
        <w:tc>
          <w:tcPr>
            <w:tcW w:w="220" w:type="dxa"/>
            <w:vAlign w:val="bottom"/>
            <w:tcBorders>
              <w:bottom w:val="single" w:sz="8" w:color="0000EE"/>
            </w:tcBorders>
            <w:gridSpan w:val="3"/>
          </w:tcPr>
          <w:p>
            <w:pPr>
              <w:jc w:val="right"/>
              <w:spacing w:after="0" w:line="143" w:lineRule="exact"/>
              <w:rPr>
                <w:rFonts w:ascii="Times New Roman" w:cs="Times New Roman" w:eastAsia="Times New Roman" w:hAnsi="Times New Roman"/>
                <w:sz w:val="14"/>
                <w:szCs w:val="14"/>
                <w:color w:val="0000EE"/>
                <w:w w:val="85"/>
              </w:rPr>
            </w:pPr>
            <w:hyperlink r:id="rId129">
              <w:r>
                <w:rPr>
                  <w:rFonts w:ascii="Times New Roman" w:cs="Times New Roman" w:eastAsia="Times New Roman" w:hAnsi="Times New Roman"/>
                  <w:sz w:val="14"/>
                  <w:szCs w:val="14"/>
                  <w:color w:val="0000EE"/>
                  <w:w w:val="85"/>
                </w:rPr>
                <w:t>(15)</w:t>
              </w:r>
            </w:hyperlink>
          </w:p>
        </w:tc>
        <w:tc>
          <w:tcPr>
            <w:tcW w:w="1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6080" w:type="dxa"/>
            <w:vAlign w:val="bottom"/>
            <w:tcBorders>
              <w:bottom w:val="single" w:sz="8" w:color="0000EE"/>
            </w:tcBorders>
            <w:gridSpan w:val="28"/>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4.8</w:t>
            </w:r>
          </w:p>
        </w:tc>
        <w:tc>
          <w:tcPr>
            <w:tcW w:w="4560" w:type="dxa"/>
            <w:vAlign w:val="bottom"/>
            <w:gridSpan w:val="22"/>
            <w:vMerge w:val="restart"/>
          </w:tcPr>
          <w:p>
            <w:pPr>
              <w:spacing w:after="0"/>
              <w:rPr>
                <w:rFonts w:ascii="Times New Roman" w:cs="Times New Roman" w:eastAsia="Times New Roman" w:hAnsi="Times New Roman"/>
                <w:sz w:val="17"/>
                <w:szCs w:val="17"/>
                <w:color w:val="0000EE"/>
                <w:w w:val="98"/>
              </w:rPr>
            </w:pPr>
            <w:hyperlink r:id="rId130">
              <w:r>
                <w:rPr>
                  <w:rFonts w:ascii="Times New Roman" w:cs="Times New Roman" w:eastAsia="Times New Roman" w:hAnsi="Times New Roman"/>
                  <w:sz w:val="17"/>
                  <w:szCs w:val="17"/>
                  <w:color w:val="0000EE"/>
                  <w:w w:val="98"/>
                </w:rPr>
                <w:t>Administrative Services Agreement with Capital Ship Management</w:t>
              </w:r>
            </w:hyperlink>
          </w:p>
        </w:tc>
        <w:tc>
          <w:tcPr>
            <w:tcW w:w="160" w:type="dxa"/>
            <w:vAlign w:val="bottom"/>
            <w:tcBorders>
              <w:bottom w:val="single" w:sz="8" w:color="0000EE"/>
            </w:tcBorders>
            <w:gridSpan w:val="2"/>
          </w:tcPr>
          <w:p>
            <w:pPr>
              <w:jc w:val="right"/>
              <w:spacing w:after="0" w:line="143" w:lineRule="exact"/>
              <w:rPr>
                <w:rFonts w:ascii="Times New Roman" w:cs="Times New Roman" w:eastAsia="Times New Roman" w:hAnsi="Times New Roman"/>
                <w:sz w:val="14"/>
                <w:szCs w:val="14"/>
                <w:color w:val="0000EE"/>
                <w:w w:val="85"/>
              </w:rPr>
            </w:pPr>
            <w:hyperlink r:id="rId130">
              <w:r>
                <w:rPr>
                  <w:rFonts w:ascii="Times New Roman" w:cs="Times New Roman" w:eastAsia="Times New Roman" w:hAnsi="Times New Roman"/>
                  <w:sz w:val="14"/>
                  <w:szCs w:val="14"/>
                  <w:color w:val="0000EE"/>
                  <w:w w:val="85"/>
                </w:rPr>
                <w:t>(1)</w:t>
              </w:r>
            </w:hyperlink>
          </w:p>
        </w:tc>
        <w:tc>
          <w:tcPr>
            <w:tcW w:w="1480" w:type="dxa"/>
            <w:vAlign w:val="bottom"/>
            <w:gridSpan w:val="5"/>
            <w:vMerge w:val="restart"/>
          </w:tcPr>
          <w:p>
            <w:pPr>
              <w:spacing w:after="0"/>
              <w:rPr>
                <w:sz w:val="13"/>
                <w:szCs w:val="13"/>
                <w:color w:val="auto"/>
              </w:rPr>
            </w:pPr>
          </w:p>
        </w:tc>
        <w:tc>
          <w:tcPr>
            <w:tcW w:w="220" w:type="dxa"/>
            <w:vAlign w:val="bottom"/>
            <w:gridSpan w:val="3"/>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560" w:type="dxa"/>
            <w:vAlign w:val="bottom"/>
            <w:tcBorders>
              <w:bottom w:val="single" w:sz="8" w:color="0000EE"/>
            </w:tcBorders>
            <w:gridSpan w:val="22"/>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97"/>
              </w:rPr>
              <w:t>(8)</w:t>
            </w: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4.9</w:t>
            </w:r>
          </w:p>
        </w:tc>
        <w:tc>
          <w:tcPr>
            <w:tcW w:w="7560" w:type="dxa"/>
            <w:vAlign w:val="bottom"/>
            <w:gridSpan w:val="42"/>
            <w:vMerge w:val="restart"/>
          </w:tcPr>
          <w:p>
            <w:pPr>
              <w:spacing w:after="0"/>
              <w:rPr>
                <w:rFonts w:ascii="Times New Roman" w:cs="Times New Roman" w:eastAsia="Times New Roman" w:hAnsi="Times New Roman"/>
                <w:sz w:val="17"/>
                <w:szCs w:val="17"/>
                <w:color w:val="0000EE"/>
                <w:w w:val="98"/>
              </w:rPr>
            </w:pPr>
            <w:hyperlink r:id="rId131">
              <w:r>
                <w:rPr>
                  <w:rFonts w:ascii="Times New Roman" w:cs="Times New Roman" w:eastAsia="Times New Roman" w:hAnsi="Times New Roman"/>
                  <w:sz w:val="17"/>
                  <w:szCs w:val="17"/>
                  <w:color w:val="0000EE"/>
                  <w:w w:val="98"/>
                </w:rPr>
                <w:t>Amendment 1 to Administrative Services Agreement with Capital Ship Management Corp., dated April 2, 2012</w:t>
              </w:r>
            </w:hyperlink>
          </w:p>
        </w:tc>
        <w:tc>
          <w:tcPr>
            <w:tcW w:w="180" w:type="dxa"/>
            <w:vAlign w:val="bottom"/>
            <w:tcBorders>
              <w:bottom w:val="single" w:sz="8" w:color="0000EE"/>
            </w:tcBorders>
            <w:gridSpan w:val="3"/>
            <w:vMerge w:val="continue"/>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7560" w:type="dxa"/>
            <w:vAlign w:val="bottom"/>
            <w:tcBorders>
              <w:bottom w:val="single" w:sz="8" w:color="0000EE"/>
            </w:tcBorders>
            <w:gridSpan w:val="42"/>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4.10</w:t>
            </w:r>
          </w:p>
        </w:tc>
        <w:tc>
          <w:tcPr>
            <w:tcW w:w="7960" w:type="dxa"/>
            <w:vAlign w:val="bottom"/>
            <w:gridSpan w:val="48"/>
            <w:vMerge w:val="restart"/>
          </w:tcPr>
          <w:p>
            <w:pPr>
              <w:spacing w:after="0"/>
              <w:rPr>
                <w:rFonts w:ascii="Times New Roman" w:cs="Times New Roman" w:eastAsia="Times New Roman" w:hAnsi="Times New Roman"/>
                <w:sz w:val="17"/>
                <w:szCs w:val="17"/>
                <w:color w:val="0000EE"/>
                <w:w w:val="98"/>
              </w:rPr>
            </w:pPr>
            <w:hyperlink r:id="rId132">
              <w:r>
                <w:rPr>
                  <w:rFonts w:ascii="Times New Roman" w:cs="Times New Roman" w:eastAsia="Times New Roman" w:hAnsi="Times New Roman"/>
                  <w:sz w:val="17"/>
                  <w:szCs w:val="17"/>
                  <w:color w:val="0000EE"/>
                  <w:w w:val="98"/>
                </w:rPr>
                <w:t>IT Agreement, dated April 3, 2007, by and between Capital Ship Management Corp. and Capital Product Partners L.P.</w:t>
              </w:r>
            </w:hyperlink>
          </w:p>
        </w:tc>
        <w:tc>
          <w:tcPr>
            <w:tcW w:w="240" w:type="dxa"/>
            <w:vAlign w:val="bottom"/>
            <w:tcBorders>
              <w:bottom w:val="single" w:sz="8" w:color="0000EE"/>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0000EE"/>
                <w:w w:val="94"/>
              </w:rPr>
              <w:t>(13)</w:t>
            </w:r>
          </w:p>
        </w:tc>
        <w:tc>
          <w:tcPr>
            <w:tcW w:w="1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7960" w:type="dxa"/>
            <w:vAlign w:val="bottom"/>
            <w:tcBorders>
              <w:bottom w:val="single" w:sz="8" w:color="0000EE"/>
            </w:tcBorders>
            <w:gridSpan w:val="48"/>
            <w:vMerge w:val="continue"/>
          </w:tcPr>
          <w:p>
            <w:pPr>
              <w:spacing w:after="0"/>
              <w:rPr>
                <w:sz w:val="3"/>
                <w:szCs w:val="3"/>
                <w:color w:val="auto"/>
              </w:rPr>
            </w:pPr>
          </w:p>
        </w:tc>
        <w:tc>
          <w:tcPr>
            <w:tcW w:w="24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4.11</w:t>
            </w:r>
          </w:p>
        </w:tc>
        <w:tc>
          <w:tcPr>
            <w:tcW w:w="3740" w:type="dxa"/>
            <w:vAlign w:val="bottom"/>
            <w:gridSpan w:val="8"/>
            <w:vMerge w:val="restart"/>
          </w:tcPr>
          <w:p>
            <w:pPr>
              <w:spacing w:after="0"/>
              <w:rPr>
                <w:rFonts w:ascii="Times New Roman" w:cs="Times New Roman" w:eastAsia="Times New Roman" w:hAnsi="Times New Roman"/>
                <w:sz w:val="17"/>
                <w:szCs w:val="17"/>
                <w:color w:val="0000EE"/>
                <w:w w:val="98"/>
              </w:rPr>
            </w:pPr>
            <w:hyperlink r:id="rId133">
              <w:r>
                <w:rPr>
                  <w:rFonts w:ascii="Times New Roman" w:cs="Times New Roman" w:eastAsia="Times New Roman" w:hAnsi="Times New Roman"/>
                  <w:sz w:val="17"/>
                  <w:szCs w:val="17"/>
                  <w:color w:val="0000EE"/>
                  <w:w w:val="98"/>
                </w:rPr>
                <w:t>Addendum No. 1 to IT Agreement, dated April 2, 2012</w:t>
              </w:r>
            </w:hyperlink>
          </w:p>
        </w:tc>
        <w:tc>
          <w:tcPr>
            <w:tcW w:w="240" w:type="dxa"/>
            <w:vAlign w:val="bottom"/>
            <w:tcBorders>
              <w:bottom w:val="single" w:sz="8" w:color="0000EE"/>
            </w:tcBorders>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0000EE"/>
                <w:w w:val="94"/>
              </w:rPr>
              <w:t>(13)</w:t>
            </w:r>
          </w:p>
        </w:tc>
        <w:tc>
          <w:tcPr>
            <w:tcW w:w="20" w:type="dxa"/>
            <w:vAlign w:val="bottom"/>
            <w:vMerge w:val="restart"/>
          </w:tcPr>
          <w:p>
            <w:pPr>
              <w:spacing w:after="0"/>
              <w:rPr>
                <w:sz w:val="13"/>
                <w:szCs w:val="13"/>
                <w:color w:val="auto"/>
              </w:rPr>
            </w:pPr>
          </w:p>
        </w:tc>
        <w:tc>
          <w:tcPr>
            <w:tcW w:w="200" w:type="dxa"/>
            <w:vAlign w:val="bottom"/>
            <w:gridSpan w:val="3"/>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gridSpan w:val="2"/>
            <w:vMerge w:val="restart"/>
          </w:tcPr>
          <w:p>
            <w:pPr>
              <w:spacing w:after="0"/>
              <w:rPr>
                <w:sz w:val="13"/>
                <w:szCs w:val="13"/>
                <w:color w:val="auto"/>
              </w:rPr>
            </w:pPr>
          </w:p>
        </w:tc>
        <w:tc>
          <w:tcPr>
            <w:tcW w:w="1760" w:type="dxa"/>
            <w:vAlign w:val="bottom"/>
            <w:gridSpan w:val="10"/>
            <w:vMerge w:val="restart"/>
          </w:tcPr>
          <w:p>
            <w:pPr>
              <w:spacing w:after="0"/>
              <w:rPr>
                <w:sz w:val="13"/>
                <w:szCs w:val="13"/>
                <w:color w:val="auto"/>
              </w:rPr>
            </w:pPr>
          </w:p>
        </w:tc>
        <w:tc>
          <w:tcPr>
            <w:tcW w:w="220" w:type="dxa"/>
            <w:vAlign w:val="bottom"/>
            <w:gridSpan w:val="3"/>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3740" w:type="dxa"/>
            <w:vAlign w:val="bottom"/>
            <w:tcBorders>
              <w:bottom w:val="single" w:sz="8" w:color="0000EE"/>
            </w:tcBorders>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760" w:type="dxa"/>
            <w:vAlign w:val="bottom"/>
            <w:gridSpan w:val="10"/>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4.12</w:t>
            </w:r>
          </w:p>
        </w:tc>
        <w:tc>
          <w:tcPr>
            <w:tcW w:w="3740" w:type="dxa"/>
            <w:vAlign w:val="bottom"/>
            <w:gridSpan w:val="8"/>
            <w:vMerge w:val="restart"/>
          </w:tcPr>
          <w:p>
            <w:pPr>
              <w:spacing w:after="0"/>
              <w:rPr>
                <w:rFonts w:ascii="Times New Roman" w:cs="Times New Roman" w:eastAsia="Times New Roman" w:hAnsi="Times New Roman"/>
                <w:sz w:val="17"/>
                <w:szCs w:val="17"/>
                <w:color w:val="0000EE"/>
                <w:w w:val="98"/>
              </w:rPr>
            </w:pPr>
            <w:hyperlink r:id="rId134">
              <w:r>
                <w:rPr>
                  <w:rFonts w:ascii="Times New Roman" w:cs="Times New Roman" w:eastAsia="Times New Roman" w:hAnsi="Times New Roman"/>
                  <w:sz w:val="17"/>
                  <w:szCs w:val="17"/>
                  <w:color w:val="0000EE"/>
                  <w:w w:val="98"/>
                </w:rPr>
                <w:t>Addendum No. 2 to IT Agreement, dated April 2, 2017</w:t>
              </w:r>
            </w:hyperlink>
          </w:p>
        </w:tc>
        <w:tc>
          <w:tcPr>
            <w:tcW w:w="240" w:type="dxa"/>
            <w:vAlign w:val="bottom"/>
            <w:tcBorders>
              <w:bottom w:val="single" w:sz="8" w:color="0000EE"/>
            </w:tcBorders>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0000EE"/>
                <w:w w:val="94"/>
              </w:rPr>
              <w:t>(13)</w:t>
            </w:r>
          </w:p>
        </w:tc>
        <w:tc>
          <w:tcPr>
            <w:tcW w:w="20" w:type="dxa"/>
            <w:vAlign w:val="bottom"/>
            <w:vMerge w:val="restart"/>
          </w:tcPr>
          <w:p>
            <w:pPr>
              <w:spacing w:after="0"/>
              <w:rPr>
                <w:sz w:val="13"/>
                <w:szCs w:val="13"/>
                <w:color w:val="auto"/>
              </w:rPr>
            </w:pPr>
          </w:p>
        </w:tc>
        <w:tc>
          <w:tcPr>
            <w:tcW w:w="200" w:type="dxa"/>
            <w:vAlign w:val="bottom"/>
            <w:gridSpan w:val="3"/>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gridSpan w:val="2"/>
            <w:vMerge w:val="restart"/>
          </w:tcPr>
          <w:p>
            <w:pPr>
              <w:spacing w:after="0"/>
              <w:rPr>
                <w:sz w:val="13"/>
                <w:szCs w:val="13"/>
                <w:color w:val="auto"/>
              </w:rPr>
            </w:pPr>
          </w:p>
        </w:tc>
        <w:tc>
          <w:tcPr>
            <w:tcW w:w="1760" w:type="dxa"/>
            <w:vAlign w:val="bottom"/>
            <w:gridSpan w:val="10"/>
            <w:vMerge w:val="restart"/>
          </w:tcPr>
          <w:p>
            <w:pPr>
              <w:spacing w:after="0"/>
              <w:rPr>
                <w:sz w:val="13"/>
                <w:szCs w:val="13"/>
                <w:color w:val="auto"/>
              </w:rPr>
            </w:pPr>
          </w:p>
        </w:tc>
        <w:tc>
          <w:tcPr>
            <w:tcW w:w="220" w:type="dxa"/>
            <w:vAlign w:val="bottom"/>
            <w:gridSpan w:val="3"/>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3740" w:type="dxa"/>
            <w:vAlign w:val="bottom"/>
            <w:tcBorders>
              <w:bottom w:val="single" w:sz="8" w:color="0000EE"/>
            </w:tcBorders>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760" w:type="dxa"/>
            <w:vAlign w:val="bottom"/>
            <w:gridSpan w:val="10"/>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4.13</w:t>
            </w:r>
          </w:p>
        </w:tc>
        <w:tc>
          <w:tcPr>
            <w:tcW w:w="3740" w:type="dxa"/>
            <w:vAlign w:val="bottom"/>
            <w:gridSpan w:val="8"/>
            <w:vMerge w:val="restart"/>
          </w:tcPr>
          <w:p>
            <w:pPr>
              <w:spacing w:after="0"/>
              <w:rPr>
                <w:rFonts w:ascii="Times New Roman" w:cs="Times New Roman" w:eastAsia="Times New Roman" w:hAnsi="Times New Roman"/>
                <w:sz w:val="17"/>
                <w:szCs w:val="17"/>
                <w:color w:val="0000EE"/>
                <w:w w:val="98"/>
              </w:rPr>
            </w:pPr>
            <w:hyperlink r:id="rId135">
              <w:r>
                <w:rPr>
                  <w:rFonts w:ascii="Times New Roman" w:cs="Times New Roman" w:eastAsia="Times New Roman" w:hAnsi="Times New Roman"/>
                  <w:sz w:val="17"/>
                  <w:szCs w:val="17"/>
                  <w:color w:val="0000EE"/>
                  <w:w w:val="98"/>
                </w:rPr>
                <w:t>Addendum No. 3 to IT Agreement, dated April 2, 2022</w:t>
              </w:r>
            </w:hyperlink>
          </w:p>
        </w:tc>
        <w:tc>
          <w:tcPr>
            <w:tcW w:w="240" w:type="dxa"/>
            <w:vAlign w:val="bottom"/>
            <w:tcBorders>
              <w:bottom w:val="single" w:sz="8" w:color="0000EE"/>
            </w:tcBorders>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0000EE"/>
                <w:w w:val="94"/>
              </w:rPr>
              <w:t>(15)</w:t>
            </w:r>
          </w:p>
        </w:tc>
        <w:tc>
          <w:tcPr>
            <w:tcW w:w="20" w:type="dxa"/>
            <w:vAlign w:val="bottom"/>
            <w:vMerge w:val="restart"/>
          </w:tcPr>
          <w:p>
            <w:pPr>
              <w:spacing w:after="0"/>
              <w:rPr>
                <w:sz w:val="13"/>
                <w:szCs w:val="13"/>
                <w:color w:val="auto"/>
              </w:rPr>
            </w:pPr>
          </w:p>
        </w:tc>
        <w:tc>
          <w:tcPr>
            <w:tcW w:w="200" w:type="dxa"/>
            <w:vAlign w:val="bottom"/>
            <w:gridSpan w:val="3"/>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gridSpan w:val="2"/>
            <w:vMerge w:val="restart"/>
          </w:tcPr>
          <w:p>
            <w:pPr>
              <w:spacing w:after="0"/>
              <w:rPr>
                <w:sz w:val="13"/>
                <w:szCs w:val="13"/>
                <w:color w:val="auto"/>
              </w:rPr>
            </w:pPr>
          </w:p>
        </w:tc>
        <w:tc>
          <w:tcPr>
            <w:tcW w:w="1760" w:type="dxa"/>
            <w:vAlign w:val="bottom"/>
            <w:gridSpan w:val="10"/>
            <w:vMerge w:val="restart"/>
          </w:tcPr>
          <w:p>
            <w:pPr>
              <w:spacing w:after="0"/>
              <w:rPr>
                <w:sz w:val="13"/>
                <w:szCs w:val="13"/>
                <w:color w:val="auto"/>
              </w:rPr>
            </w:pPr>
          </w:p>
        </w:tc>
        <w:tc>
          <w:tcPr>
            <w:tcW w:w="220" w:type="dxa"/>
            <w:vAlign w:val="bottom"/>
            <w:gridSpan w:val="3"/>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3740" w:type="dxa"/>
            <w:vAlign w:val="bottom"/>
            <w:tcBorders>
              <w:bottom w:val="single" w:sz="8" w:color="0000EE"/>
            </w:tcBorders>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76"/>
              </w:rPr>
              <w:t>(10)</w:t>
            </w: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760" w:type="dxa"/>
            <w:vAlign w:val="bottom"/>
            <w:gridSpan w:val="10"/>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4.14</w:t>
            </w:r>
          </w:p>
        </w:tc>
        <w:tc>
          <w:tcPr>
            <w:tcW w:w="4000" w:type="dxa"/>
            <w:vAlign w:val="bottom"/>
            <w:gridSpan w:val="12"/>
            <w:vMerge w:val="restart"/>
          </w:tcPr>
          <w:p>
            <w:pPr>
              <w:spacing w:after="0"/>
              <w:rPr>
                <w:rFonts w:ascii="Times New Roman" w:cs="Times New Roman" w:eastAsia="Times New Roman" w:hAnsi="Times New Roman"/>
                <w:sz w:val="17"/>
                <w:szCs w:val="17"/>
                <w:color w:val="0000EE"/>
                <w:w w:val="99"/>
              </w:rPr>
            </w:pPr>
            <w:hyperlink r:id="rId136">
              <w:r>
                <w:rPr>
                  <w:rFonts w:ascii="Times New Roman" w:cs="Times New Roman" w:eastAsia="Times New Roman" w:hAnsi="Times New Roman"/>
                  <w:sz w:val="17"/>
                  <w:szCs w:val="17"/>
                  <w:color w:val="0000EE"/>
                  <w:w w:val="99"/>
                </w:rPr>
                <w:t>Master Vessel Acquisition Agreement, dated July 24, 2014</w:t>
              </w:r>
            </w:hyperlink>
          </w:p>
        </w:tc>
        <w:tc>
          <w:tcPr>
            <w:tcW w:w="200" w:type="dxa"/>
            <w:vAlign w:val="bottom"/>
            <w:tcBorders>
              <w:bottom w:val="single" w:sz="8" w:color="0000EE"/>
            </w:tcBorders>
            <w:gridSpan w:val="3"/>
            <w:vMerge w:val="continue"/>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gridSpan w:val="2"/>
            <w:vMerge w:val="restart"/>
          </w:tcPr>
          <w:p>
            <w:pPr>
              <w:spacing w:after="0"/>
              <w:rPr>
                <w:sz w:val="13"/>
                <w:szCs w:val="13"/>
                <w:color w:val="auto"/>
              </w:rPr>
            </w:pPr>
          </w:p>
        </w:tc>
        <w:tc>
          <w:tcPr>
            <w:tcW w:w="1760" w:type="dxa"/>
            <w:vAlign w:val="bottom"/>
            <w:gridSpan w:val="10"/>
            <w:vMerge w:val="restart"/>
          </w:tcPr>
          <w:p>
            <w:pPr>
              <w:spacing w:after="0"/>
              <w:rPr>
                <w:sz w:val="13"/>
                <w:szCs w:val="13"/>
                <w:color w:val="auto"/>
              </w:rPr>
            </w:pPr>
          </w:p>
        </w:tc>
        <w:tc>
          <w:tcPr>
            <w:tcW w:w="220" w:type="dxa"/>
            <w:vAlign w:val="bottom"/>
            <w:gridSpan w:val="3"/>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000" w:type="dxa"/>
            <w:vAlign w:val="bottom"/>
            <w:tcBorders>
              <w:bottom w:val="single" w:sz="8" w:color="0000EE"/>
            </w:tcBorders>
            <w:gridSpan w:val="12"/>
            <w:vMerge w:val="continue"/>
          </w:tcPr>
          <w:p>
            <w:pPr>
              <w:spacing w:after="0"/>
              <w:rPr>
                <w:sz w:val="3"/>
                <w:szCs w:val="3"/>
                <w:color w:val="auto"/>
              </w:rPr>
            </w:pPr>
          </w:p>
        </w:tc>
        <w:tc>
          <w:tcPr>
            <w:tcW w:w="200" w:type="dxa"/>
            <w:vAlign w:val="bottom"/>
            <w:gridSpan w:val="3"/>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760" w:type="dxa"/>
            <w:vAlign w:val="bottom"/>
            <w:gridSpan w:val="10"/>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(2)</w:t>
            </w: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4.15</w:t>
            </w:r>
          </w:p>
        </w:tc>
        <w:tc>
          <w:tcPr>
            <w:tcW w:w="6480" w:type="dxa"/>
            <w:vAlign w:val="bottom"/>
            <w:gridSpan w:val="34"/>
            <w:vMerge w:val="restart"/>
          </w:tcPr>
          <w:p>
            <w:pPr>
              <w:spacing w:after="0"/>
              <w:rPr>
                <w:rFonts w:ascii="Times New Roman" w:cs="Times New Roman" w:eastAsia="Times New Roman" w:hAnsi="Times New Roman"/>
                <w:sz w:val="17"/>
                <w:szCs w:val="17"/>
                <w:color w:val="0000EE"/>
                <w:w w:val="98"/>
              </w:rPr>
            </w:pPr>
            <w:hyperlink r:id="rId137">
              <w:r>
                <w:rPr>
                  <w:rFonts w:ascii="Times New Roman" w:cs="Times New Roman" w:eastAsia="Times New Roman" w:hAnsi="Times New Roman"/>
                  <w:sz w:val="17"/>
                  <w:szCs w:val="17"/>
                  <w:color w:val="0000EE"/>
                  <w:w w:val="98"/>
                </w:rPr>
                <w:t>Capital Product Partners L.P. 2008 Omnibus Incentive Compensation Plan, dated April 29, 2008</w:t>
              </w:r>
            </w:hyperlink>
          </w:p>
        </w:tc>
        <w:tc>
          <w:tcPr>
            <w:tcW w:w="160" w:type="dxa"/>
            <w:vAlign w:val="bottom"/>
            <w:tcBorders>
              <w:bottom w:val="single" w:sz="8" w:color="0000EE"/>
            </w:tcBorders>
            <w:gridSpan w:val="3"/>
            <w:vMerge w:val="continue"/>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6480" w:type="dxa"/>
            <w:vAlign w:val="bottom"/>
            <w:tcBorders>
              <w:bottom w:val="single" w:sz="8" w:color="0000EE"/>
            </w:tcBorders>
            <w:gridSpan w:val="34"/>
            <w:vMerge w:val="continue"/>
          </w:tcPr>
          <w:p>
            <w:pPr>
              <w:spacing w:after="0"/>
              <w:rPr>
                <w:sz w:val="3"/>
                <w:szCs w:val="3"/>
                <w:color w:val="auto"/>
              </w:rPr>
            </w:pPr>
          </w:p>
        </w:tc>
        <w:tc>
          <w:tcPr>
            <w:tcW w:w="160" w:type="dxa"/>
            <w:vAlign w:val="bottom"/>
            <w:gridSpan w:val="3"/>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(9)</w:t>
            </w: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4.16</w:t>
            </w:r>
          </w:p>
        </w:tc>
        <w:tc>
          <w:tcPr>
            <w:tcW w:w="6660" w:type="dxa"/>
            <w:vAlign w:val="bottom"/>
            <w:gridSpan w:val="38"/>
            <w:vMerge w:val="restart"/>
          </w:tcPr>
          <w:p>
            <w:pPr>
              <w:spacing w:after="0"/>
              <w:rPr>
                <w:rFonts w:ascii="Times New Roman" w:cs="Times New Roman" w:eastAsia="Times New Roman" w:hAnsi="Times New Roman"/>
                <w:sz w:val="17"/>
                <w:szCs w:val="17"/>
                <w:color w:val="0000EE"/>
                <w:w w:val="98"/>
              </w:rPr>
            </w:pPr>
            <w:hyperlink r:id="rId138">
              <w:r>
                <w:rPr>
                  <w:rFonts w:ascii="Times New Roman" w:cs="Times New Roman" w:eastAsia="Times New Roman" w:hAnsi="Times New Roman"/>
                  <w:sz w:val="17"/>
                  <w:szCs w:val="17"/>
                  <w:color w:val="0000EE"/>
                  <w:w w:val="98"/>
                </w:rPr>
                <w:t>Capital Product Partners L.P. 2008 Omnibus Incentive Compensation Plan, amended July 22, 2010</w:t>
              </w:r>
            </w:hyperlink>
          </w:p>
        </w:tc>
        <w:tc>
          <w:tcPr>
            <w:tcW w:w="160" w:type="dxa"/>
            <w:vAlign w:val="bottom"/>
            <w:tcBorders>
              <w:bottom w:val="single" w:sz="8" w:color="0000EE"/>
            </w:tcBorders>
            <w:gridSpan w:val="2"/>
            <w:vMerge w:val="continue"/>
          </w:tcPr>
          <w:p>
            <w:pPr>
              <w:spacing w:after="0"/>
              <w:rPr>
                <w:sz w:val="13"/>
                <w:szCs w:val="13"/>
                <w:color w:val="auto"/>
              </w:rPr>
            </w:pPr>
          </w:p>
        </w:tc>
        <w:tc>
          <w:tcPr>
            <w:tcW w:w="68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6660" w:type="dxa"/>
            <w:vAlign w:val="bottom"/>
            <w:tcBorders>
              <w:bottom w:val="single" w:sz="8" w:color="0000EE"/>
            </w:tcBorders>
            <w:gridSpan w:val="38"/>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(9)</w:t>
            </w: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4.17</w:t>
            </w:r>
          </w:p>
        </w:tc>
        <w:tc>
          <w:tcPr>
            <w:tcW w:w="7700" w:type="dxa"/>
            <w:vAlign w:val="bottom"/>
            <w:gridSpan w:val="43"/>
            <w:vMerge w:val="restart"/>
          </w:tcPr>
          <w:p>
            <w:pPr>
              <w:spacing w:after="0"/>
              <w:rPr>
                <w:rFonts w:ascii="Times New Roman" w:cs="Times New Roman" w:eastAsia="Times New Roman" w:hAnsi="Times New Roman"/>
                <w:sz w:val="17"/>
                <w:szCs w:val="17"/>
                <w:color w:val="0000EE"/>
                <w:w w:val="98"/>
              </w:rPr>
            </w:pPr>
            <w:hyperlink r:id="rId136">
              <w:r>
                <w:rPr>
                  <w:rFonts w:ascii="Times New Roman" w:cs="Times New Roman" w:eastAsia="Times New Roman" w:hAnsi="Times New Roman"/>
                  <w:sz w:val="17"/>
                  <w:szCs w:val="17"/>
                  <w:color w:val="0000EE"/>
                  <w:w w:val="98"/>
                </w:rPr>
                <w:t>Capital Product Partners L.P. 2008 Omnibus Incentive Compensation Plan, amended and restated August 21, 2014</w:t>
              </w:r>
            </w:hyperlink>
          </w:p>
        </w:tc>
        <w:tc>
          <w:tcPr>
            <w:tcW w:w="160" w:type="dxa"/>
            <w:vAlign w:val="bottom"/>
            <w:tcBorders>
              <w:bottom w:val="single" w:sz="8" w:color="0000EE"/>
            </w:tcBorders>
            <w:gridSpan w:val="4"/>
            <w:vMerge w:val="continue"/>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7700" w:type="dxa"/>
            <w:vAlign w:val="bottom"/>
            <w:tcBorders>
              <w:bottom w:val="single" w:sz="8" w:color="0000EE"/>
            </w:tcBorders>
            <w:gridSpan w:val="4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4.18</w:t>
            </w:r>
          </w:p>
        </w:tc>
        <w:tc>
          <w:tcPr>
            <w:tcW w:w="7500" w:type="dxa"/>
            <w:vAlign w:val="bottom"/>
            <w:gridSpan w:val="41"/>
            <w:vMerge w:val="restart"/>
          </w:tcPr>
          <w:p>
            <w:pPr>
              <w:spacing w:after="0"/>
              <w:rPr>
                <w:rFonts w:ascii="Times New Roman" w:cs="Times New Roman" w:eastAsia="Times New Roman" w:hAnsi="Times New Roman"/>
                <w:sz w:val="17"/>
                <w:szCs w:val="17"/>
                <w:color w:val="0000EE"/>
                <w:w w:val="98"/>
              </w:rPr>
            </w:pPr>
            <w:hyperlink r:id="rId139">
              <w:r>
                <w:rPr>
                  <w:rFonts w:ascii="Times New Roman" w:cs="Times New Roman" w:eastAsia="Times New Roman" w:hAnsi="Times New Roman"/>
                  <w:sz w:val="17"/>
                  <w:szCs w:val="17"/>
                  <w:color w:val="0000EE"/>
                  <w:w w:val="98"/>
                </w:rPr>
                <w:t>Capital Product Partners L.P. 2008 Omnibus Incentive Compensation Plan, amended and restated July 23, 2019</w:t>
              </w:r>
            </w:hyperlink>
          </w:p>
        </w:tc>
        <w:tc>
          <w:tcPr>
            <w:tcW w:w="220" w:type="dxa"/>
            <w:vAlign w:val="bottom"/>
            <w:tcBorders>
              <w:bottom w:val="single" w:sz="8" w:color="0000EE"/>
            </w:tcBorders>
            <w:gridSpan w:val="3"/>
          </w:tcPr>
          <w:p>
            <w:pPr>
              <w:jc w:val="right"/>
              <w:spacing w:after="0" w:line="143" w:lineRule="exact"/>
              <w:rPr>
                <w:rFonts w:ascii="Times New Roman" w:cs="Times New Roman" w:eastAsia="Times New Roman" w:hAnsi="Times New Roman"/>
                <w:sz w:val="14"/>
                <w:szCs w:val="14"/>
                <w:color w:val="0000EE"/>
                <w:w w:val="85"/>
              </w:rPr>
            </w:pPr>
            <w:hyperlink r:id="rId139">
              <w:r>
                <w:rPr>
                  <w:rFonts w:ascii="Times New Roman" w:cs="Times New Roman" w:eastAsia="Times New Roman" w:hAnsi="Times New Roman"/>
                  <w:sz w:val="14"/>
                  <w:szCs w:val="14"/>
                  <w:color w:val="0000EE"/>
                  <w:w w:val="85"/>
                </w:rPr>
                <w:t>(13)</w:t>
              </w:r>
            </w:hyperlink>
          </w:p>
        </w:tc>
        <w:tc>
          <w:tcPr>
            <w:tcW w:w="80" w:type="dxa"/>
            <w:vAlign w:val="bottom"/>
            <w:gridSpan w:val="2"/>
            <w:vMerge w:val="restart"/>
          </w:tcPr>
          <w:p>
            <w:pPr>
              <w:spacing w:after="0"/>
              <w:rPr>
                <w:sz w:val="13"/>
                <w:szCs w:val="13"/>
                <w:color w:val="auto"/>
              </w:rPr>
            </w:pPr>
          </w:p>
        </w:tc>
        <w:tc>
          <w:tcPr>
            <w:tcW w:w="580" w:type="dxa"/>
            <w:vAlign w:val="bottom"/>
            <w:gridSpan w:val="5"/>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7500" w:type="dxa"/>
            <w:vAlign w:val="bottom"/>
            <w:tcBorders>
              <w:bottom w:val="single" w:sz="8" w:color="0000EE"/>
            </w:tcBorders>
            <w:gridSpan w:val="41"/>
            <w:vMerge w:val="continue"/>
          </w:tcPr>
          <w:p>
            <w:pPr>
              <w:spacing w:after="0"/>
              <w:rPr>
                <w:sz w:val="3"/>
                <w:szCs w:val="3"/>
                <w:color w:val="auto"/>
              </w:rPr>
            </w:pPr>
          </w:p>
        </w:tc>
        <w:tc>
          <w:tcPr>
            <w:tcW w:w="220" w:type="dxa"/>
            <w:vAlign w:val="bottom"/>
            <w:gridSpan w:val="3"/>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580" w:type="dxa"/>
            <w:vAlign w:val="bottom"/>
            <w:gridSpan w:val="5"/>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4.19</w:t>
            </w:r>
          </w:p>
        </w:tc>
        <w:tc>
          <w:tcPr>
            <w:tcW w:w="7560" w:type="dxa"/>
            <w:vAlign w:val="bottom"/>
            <w:gridSpan w:val="42"/>
            <w:vMerge w:val="restart"/>
          </w:tcPr>
          <w:p>
            <w:pPr>
              <w:spacing w:after="0"/>
              <w:rPr>
                <w:rFonts w:ascii="Times New Roman" w:cs="Times New Roman" w:eastAsia="Times New Roman" w:hAnsi="Times New Roman"/>
                <w:sz w:val="17"/>
                <w:szCs w:val="17"/>
                <w:color w:val="0000EE"/>
                <w:w w:val="98"/>
              </w:rPr>
            </w:pPr>
            <w:hyperlink r:id="rId140">
              <w:r>
                <w:rPr>
                  <w:rFonts w:ascii="Times New Roman" w:cs="Times New Roman" w:eastAsia="Times New Roman" w:hAnsi="Times New Roman"/>
                  <w:sz w:val="17"/>
                  <w:szCs w:val="17"/>
                  <w:color w:val="0000EE"/>
                  <w:w w:val="98"/>
                </w:rPr>
                <w:t>Capital Product Partners L.P. Omnibus Incentive Compensation Plan, amended and restated on January 24, 2022</w:t>
              </w:r>
            </w:hyperlink>
          </w:p>
        </w:tc>
        <w:tc>
          <w:tcPr>
            <w:tcW w:w="240" w:type="dxa"/>
            <w:vAlign w:val="bottom"/>
            <w:tcBorders>
              <w:bottom w:val="single" w:sz="8" w:color="0000EE"/>
            </w:tcBorders>
            <w:gridSpan w:val="4"/>
          </w:tcPr>
          <w:p>
            <w:pPr>
              <w:jc w:val="right"/>
              <w:spacing w:after="0" w:line="143" w:lineRule="exact"/>
              <w:rPr>
                <w:rFonts w:ascii="Times New Roman" w:cs="Times New Roman" w:eastAsia="Times New Roman" w:hAnsi="Times New Roman"/>
                <w:sz w:val="14"/>
                <w:szCs w:val="14"/>
                <w:color w:val="0000EE"/>
                <w:w w:val="94"/>
              </w:rPr>
            </w:pPr>
            <w:hyperlink r:id="rId140">
              <w:r>
                <w:rPr>
                  <w:rFonts w:ascii="Times New Roman" w:cs="Times New Roman" w:eastAsia="Times New Roman" w:hAnsi="Times New Roman"/>
                  <w:sz w:val="14"/>
                  <w:szCs w:val="14"/>
                  <w:color w:val="0000EE"/>
                  <w:w w:val="94"/>
                </w:rPr>
                <w:t>(15)</w:t>
              </w:r>
            </w:hyperlink>
          </w:p>
        </w:tc>
        <w:tc>
          <w:tcPr>
            <w:tcW w:w="580" w:type="dxa"/>
            <w:vAlign w:val="bottom"/>
            <w:gridSpan w:val="5"/>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7560" w:type="dxa"/>
            <w:vAlign w:val="bottom"/>
            <w:tcBorders>
              <w:bottom w:val="single" w:sz="8" w:color="0000EE"/>
            </w:tcBorders>
            <w:gridSpan w:val="42"/>
            <w:vMerge w:val="continue"/>
          </w:tcPr>
          <w:p>
            <w:pPr>
              <w:spacing w:after="0"/>
              <w:rPr>
                <w:sz w:val="3"/>
                <w:szCs w:val="3"/>
                <w:color w:val="auto"/>
              </w:rPr>
            </w:pPr>
          </w:p>
        </w:tc>
        <w:tc>
          <w:tcPr>
            <w:tcW w:w="240" w:type="dxa"/>
            <w:vAlign w:val="bottom"/>
            <w:gridSpan w:val="4"/>
          </w:tcPr>
          <w:p>
            <w:pPr>
              <w:spacing w:after="0"/>
              <w:rPr>
                <w:sz w:val="3"/>
                <w:szCs w:val="3"/>
                <w:color w:val="auto"/>
              </w:rPr>
            </w:pPr>
          </w:p>
        </w:tc>
        <w:tc>
          <w:tcPr>
            <w:tcW w:w="580" w:type="dxa"/>
            <w:vAlign w:val="bottom"/>
            <w:gridSpan w:val="5"/>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4.20</w:t>
            </w:r>
          </w:p>
        </w:tc>
        <w:tc>
          <w:tcPr>
            <w:tcW w:w="4300" w:type="dxa"/>
            <w:vAlign w:val="bottom"/>
            <w:gridSpan w:val="17"/>
            <w:vMerge w:val="restart"/>
          </w:tcPr>
          <w:p>
            <w:pPr>
              <w:spacing w:after="0"/>
              <w:rPr>
                <w:rFonts w:ascii="Times New Roman" w:cs="Times New Roman" w:eastAsia="Times New Roman" w:hAnsi="Times New Roman"/>
                <w:sz w:val="17"/>
                <w:szCs w:val="17"/>
                <w:color w:val="0000EE"/>
                <w:w w:val="98"/>
              </w:rPr>
            </w:pPr>
            <w:hyperlink r:id="rId141">
              <w:r>
                <w:rPr>
                  <w:rFonts w:ascii="Times New Roman" w:cs="Times New Roman" w:eastAsia="Times New Roman" w:hAnsi="Times New Roman"/>
                  <w:sz w:val="17"/>
                  <w:szCs w:val="17"/>
                  <w:color w:val="0000EE"/>
                  <w:w w:val="98"/>
                </w:rPr>
                <w:t>Form of Restricted Unit Award of Capital Product Partners L.P.</w:t>
              </w:r>
            </w:hyperlink>
          </w:p>
        </w:tc>
        <w:tc>
          <w:tcPr>
            <w:tcW w:w="140" w:type="dxa"/>
            <w:vAlign w:val="bottom"/>
            <w:tcBorders>
              <w:bottom w:val="single" w:sz="8" w:color="0000EE"/>
            </w:tcBorders>
            <w:gridSpan w:val="2"/>
          </w:tcPr>
          <w:p>
            <w:pPr>
              <w:jc w:val="right"/>
              <w:spacing w:after="0" w:line="143" w:lineRule="exact"/>
              <w:rPr>
                <w:rFonts w:ascii="Times New Roman" w:cs="Times New Roman" w:eastAsia="Times New Roman" w:hAnsi="Times New Roman"/>
                <w:sz w:val="14"/>
                <w:szCs w:val="14"/>
                <w:color w:val="0000EE"/>
                <w:w w:val="73"/>
              </w:rPr>
            </w:pPr>
            <w:hyperlink r:id="rId141">
              <w:r>
                <w:rPr>
                  <w:rFonts w:ascii="Times New Roman" w:cs="Times New Roman" w:eastAsia="Times New Roman" w:hAnsi="Times New Roman"/>
                  <w:sz w:val="14"/>
                  <w:szCs w:val="14"/>
                  <w:color w:val="0000EE"/>
                  <w:w w:val="73"/>
                </w:rPr>
                <w:t>(5)</w:t>
              </w:r>
            </w:hyperlink>
          </w:p>
        </w:tc>
        <w:tc>
          <w:tcPr>
            <w:tcW w:w="1760" w:type="dxa"/>
            <w:vAlign w:val="bottom"/>
            <w:gridSpan w:val="10"/>
            <w:vMerge w:val="restart"/>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vMerge w:val="restart"/>
          </w:tcPr>
          <w:p>
            <w:pPr>
              <w:spacing w:after="0"/>
              <w:rPr>
                <w:sz w:val="13"/>
                <w:szCs w:val="13"/>
                <w:color w:val="auto"/>
              </w:rPr>
            </w:pPr>
          </w:p>
        </w:tc>
        <w:tc>
          <w:tcPr>
            <w:tcW w:w="1920" w:type="dxa"/>
            <w:vAlign w:val="bottom"/>
            <w:gridSpan w:val="18"/>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4300" w:type="dxa"/>
            <w:vAlign w:val="bottom"/>
            <w:tcBorders>
              <w:bottom w:val="single" w:sz="8" w:color="0000EE"/>
            </w:tcBorders>
            <w:gridSpan w:val="17"/>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760" w:type="dxa"/>
            <w:vAlign w:val="bottom"/>
            <w:gridSpan w:val="10"/>
            <w:vMerge w:val="continue"/>
          </w:tcPr>
          <w:p>
            <w:pPr>
              <w:spacing w:after="0"/>
              <w:rPr>
                <w:sz w:val="3"/>
                <w:szCs w:val="3"/>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EE"/>
                <w:w w:val="85"/>
              </w:rPr>
              <w:t>(14)</w:t>
            </w:r>
          </w:p>
        </w:tc>
        <w:tc>
          <w:tcPr>
            <w:tcW w:w="40" w:type="dxa"/>
            <w:vAlign w:val="bottom"/>
            <w:vMerge w:val="continue"/>
          </w:tcPr>
          <w:p>
            <w:pPr>
              <w:spacing w:after="0"/>
              <w:rPr>
                <w:sz w:val="3"/>
                <w:szCs w:val="3"/>
                <w:color w:val="auto"/>
              </w:rPr>
            </w:pPr>
          </w:p>
        </w:tc>
        <w:tc>
          <w:tcPr>
            <w:tcW w:w="1920" w:type="dxa"/>
            <w:vAlign w:val="bottom"/>
            <w:gridSpan w:val="18"/>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4.21</w:t>
            </w:r>
          </w:p>
        </w:tc>
        <w:tc>
          <w:tcPr>
            <w:tcW w:w="6200" w:type="dxa"/>
            <w:vAlign w:val="bottom"/>
            <w:gridSpan w:val="29"/>
            <w:vMerge w:val="restart"/>
          </w:tcPr>
          <w:p>
            <w:pPr>
              <w:spacing w:after="0"/>
              <w:rPr>
                <w:rFonts w:ascii="Times New Roman" w:cs="Times New Roman" w:eastAsia="Times New Roman" w:hAnsi="Times New Roman"/>
                <w:sz w:val="17"/>
                <w:szCs w:val="17"/>
                <w:color w:val="0000EE"/>
                <w:w w:val="99"/>
              </w:rPr>
            </w:pPr>
            <w:hyperlink r:id="rId142">
              <w:r>
                <w:rPr>
                  <w:rFonts w:ascii="Times New Roman" w:cs="Times New Roman" w:eastAsia="Times New Roman" w:hAnsi="Times New Roman"/>
                  <w:sz w:val="17"/>
                  <w:szCs w:val="17"/>
                  <w:color w:val="0000EE"/>
                  <w:w w:val="99"/>
                </w:rPr>
                <w:t>Seller’s Credit Agreement, dated January 27, 2021, with Capital Maritime &amp; Trading Corp.</w:t>
              </w:r>
            </w:hyperlink>
          </w:p>
        </w:tc>
        <w:tc>
          <w:tcPr>
            <w:tcW w:w="220" w:type="dxa"/>
            <w:vAlign w:val="bottom"/>
            <w:tcBorders>
              <w:bottom w:val="single" w:sz="8" w:color="0000EE"/>
            </w:tcBorders>
            <w:gridSpan w:val="3"/>
            <w:vMerge w:val="continue"/>
          </w:tcPr>
          <w:p>
            <w:pPr>
              <w:spacing w:after="0"/>
              <w:rPr>
                <w:sz w:val="13"/>
                <w:szCs w:val="13"/>
                <w:color w:val="auto"/>
              </w:rPr>
            </w:pPr>
          </w:p>
        </w:tc>
        <w:tc>
          <w:tcPr>
            <w:tcW w:w="40" w:type="dxa"/>
            <w:vAlign w:val="bottom"/>
            <w:vMerge w:val="restart"/>
          </w:tcPr>
          <w:p>
            <w:pPr>
              <w:spacing w:after="0"/>
              <w:rPr>
                <w:sz w:val="13"/>
                <w:szCs w:val="13"/>
                <w:color w:val="auto"/>
              </w:rPr>
            </w:pPr>
          </w:p>
        </w:tc>
        <w:tc>
          <w:tcPr>
            <w:tcW w:w="1920" w:type="dxa"/>
            <w:vAlign w:val="bottom"/>
            <w:gridSpan w:val="18"/>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20" w:type="dxa"/>
            <w:vAlign w:val="bottom"/>
            <w:vMerge w:val="continue"/>
          </w:tcPr>
          <w:p>
            <w:pPr>
              <w:spacing w:after="0"/>
              <w:rPr>
                <w:sz w:val="3"/>
                <w:szCs w:val="3"/>
                <w:color w:val="auto"/>
              </w:rPr>
            </w:pPr>
          </w:p>
        </w:tc>
        <w:tc>
          <w:tcPr>
            <w:tcW w:w="6200" w:type="dxa"/>
            <w:vAlign w:val="bottom"/>
            <w:tcBorders>
              <w:bottom w:val="single" w:sz="8" w:color="0000EE"/>
            </w:tcBorders>
            <w:gridSpan w:val="29"/>
            <w:vMerge w:val="continue"/>
          </w:tcPr>
          <w:p>
            <w:pPr>
              <w:spacing w:after="0"/>
              <w:rPr>
                <w:sz w:val="3"/>
                <w:szCs w:val="3"/>
                <w:color w:val="auto"/>
              </w:rPr>
            </w:pPr>
          </w:p>
        </w:tc>
        <w:tc>
          <w:tcPr>
            <w:tcW w:w="220" w:type="dxa"/>
            <w:vAlign w:val="bottom"/>
            <w:gridSpan w:val="3"/>
          </w:tcPr>
          <w:p>
            <w:pPr>
              <w:spacing w:after="0"/>
              <w:rPr>
                <w:sz w:val="3"/>
                <w:szCs w:val="3"/>
                <w:color w:val="auto"/>
              </w:rPr>
            </w:pPr>
          </w:p>
        </w:tc>
        <w:tc>
          <w:tcPr>
            <w:tcW w:w="40" w:type="dxa"/>
            <w:vAlign w:val="bottom"/>
            <w:vMerge w:val="continue"/>
          </w:tcPr>
          <w:p>
            <w:pPr>
              <w:spacing w:after="0"/>
              <w:rPr>
                <w:sz w:val="3"/>
                <w:szCs w:val="3"/>
                <w:color w:val="auto"/>
              </w:rPr>
            </w:pPr>
          </w:p>
        </w:tc>
        <w:tc>
          <w:tcPr>
            <w:tcW w:w="1920" w:type="dxa"/>
            <w:vAlign w:val="bottom"/>
            <w:gridSpan w:val="18"/>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8.1</w:t>
            </w:r>
          </w:p>
        </w:tc>
        <w:tc>
          <w:tcPr>
            <w:tcW w:w="3500" w:type="dxa"/>
            <w:vAlign w:val="bottom"/>
            <w:tcBorders>
              <w:bottom w:val="single" w:sz="8" w:color="0000EE"/>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EE"/>
                <w:w w:val="98"/>
              </w:rPr>
              <w:t>List of Subsidiaries of Capital Product Partners L.P.</w:t>
            </w:r>
          </w:p>
        </w:tc>
        <w:tc>
          <w:tcPr>
            <w:tcW w:w="4880" w:type="dxa"/>
            <w:vAlign w:val="bottom"/>
            <w:gridSpan w:val="45"/>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12.1</w:t>
            </w:r>
          </w:p>
        </w:tc>
        <w:tc>
          <w:tcPr>
            <w:tcW w:w="6520" w:type="dxa"/>
            <w:vAlign w:val="bottom"/>
            <w:tcBorders>
              <w:bottom w:val="single" w:sz="8" w:color="0000EE"/>
            </w:tcBorders>
            <w:gridSpan w:val="35"/>
          </w:tcPr>
          <w:p>
            <w:pPr>
              <w:spacing w:after="0" w:line="181" w:lineRule="exact"/>
              <w:rPr>
                <w:sz w:val="20"/>
                <w:szCs w:val="20"/>
                <w:color w:val="auto"/>
              </w:rPr>
            </w:pPr>
            <w:r>
              <w:rPr>
                <w:rFonts w:ascii="Times New Roman" w:cs="Times New Roman" w:eastAsia="Times New Roman" w:hAnsi="Times New Roman"/>
                <w:sz w:val="17"/>
                <w:szCs w:val="17"/>
                <w:color w:val="0000EE"/>
                <w:w w:val="97"/>
              </w:rPr>
              <w:t>Rule 13a-14(a)/15d-14(a) Certification of Capital Product Partners L.P.’s Chief Executive Officer</w:t>
            </w:r>
          </w:p>
        </w:tc>
        <w:tc>
          <w:tcPr>
            <w:tcW w:w="1860" w:type="dxa"/>
            <w:vAlign w:val="bottom"/>
            <w:gridSpan w:val="16"/>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12.2</w:t>
            </w:r>
          </w:p>
        </w:tc>
        <w:tc>
          <w:tcPr>
            <w:tcW w:w="8380" w:type="dxa"/>
            <w:vAlign w:val="bottom"/>
            <w:gridSpan w:val="51"/>
          </w:tcPr>
          <w:p>
            <w:pPr>
              <w:spacing w:after="0" w:line="181" w:lineRule="exact"/>
              <w:rPr>
                <w:sz w:val="20"/>
                <w:szCs w:val="20"/>
                <w:color w:val="auto"/>
              </w:rPr>
            </w:pPr>
            <w:r>
              <w:rPr>
                <w:rFonts w:ascii="Times New Roman" w:cs="Times New Roman" w:eastAsia="Times New Roman" w:hAnsi="Times New Roman"/>
                <w:sz w:val="17"/>
                <w:szCs w:val="17"/>
                <w:color w:val="0000EE"/>
              </w:rPr>
              <w:t>Rule 13a-14(a)/15d-14(a) Certification of Capital Product Partners L.P.’s Chief Financial Officer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700" w:type="dxa"/>
            <w:vAlign w:val="bottom"/>
            <w:gridSpan w:val="24"/>
            <w:shd w:val="clear" w:color="auto" w:fill="0000EE"/>
          </w:tcPr>
          <w:p>
            <w:pPr>
              <w:spacing w:after="0" w:line="20" w:lineRule="exact"/>
              <w:rPr>
                <w:sz w:val="1"/>
                <w:szCs w:val="1"/>
                <w:color w:val="auto"/>
              </w:rPr>
            </w:pPr>
          </w:p>
        </w:tc>
        <w:tc>
          <w:tcPr>
            <w:tcW w:w="2940" w:type="dxa"/>
            <w:vAlign w:val="bottom"/>
            <w:gridSpan w:val="20"/>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13.1</w:t>
            </w:r>
          </w:p>
        </w:tc>
        <w:tc>
          <w:tcPr>
            <w:tcW w:w="10620" w:type="dxa"/>
            <w:vAlign w:val="bottom"/>
            <w:gridSpan w:val="68"/>
          </w:tcPr>
          <w:p>
            <w:pPr>
              <w:spacing w:after="0" w:line="181" w:lineRule="exact"/>
              <w:rPr>
                <w:sz w:val="20"/>
                <w:szCs w:val="20"/>
                <w:color w:val="auto"/>
              </w:rPr>
            </w:pPr>
            <w:r>
              <w:rPr>
                <w:rFonts w:ascii="Times New Roman" w:cs="Times New Roman" w:eastAsia="Times New Roman" w:hAnsi="Times New Roman"/>
                <w:sz w:val="17"/>
                <w:szCs w:val="17"/>
                <w:color w:val="0000EE"/>
                <w:w w:val="97"/>
              </w:rPr>
              <w:t>Capital Product Partners L.P. Certification of Gerasimos (Jerry) Kalogiratos, Chief Executive Officer, pursuant to 18 U.S.C. Section 1350, as adopted pursuant</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8380" w:type="dxa"/>
            <w:vAlign w:val="bottom"/>
            <w:tcBorders>
              <w:top w:val="single" w:sz="8" w:color="0000EE"/>
            </w:tcBorders>
            <w:gridSpan w:val="51"/>
          </w:tcPr>
          <w:p>
            <w:pPr>
              <w:spacing w:after="0" w:line="181" w:lineRule="exact"/>
              <w:rPr>
                <w:sz w:val="20"/>
                <w:szCs w:val="20"/>
                <w:color w:val="auto"/>
              </w:rPr>
            </w:pPr>
            <w:r>
              <w:rPr>
                <w:rFonts w:ascii="Times New Roman" w:cs="Times New Roman" w:eastAsia="Times New Roman" w:hAnsi="Times New Roman"/>
                <w:sz w:val="17"/>
                <w:szCs w:val="17"/>
                <w:color w:val="0000EE"/>
              </w:rPr>
              <w:t>to Section 906 of the U.S. Sarbanes-Oxley Act of 2002*</w:t>
            </w:r>
          </w:p>
        </w:tc>
        <w:tc>
          <w:tcPr>
            <w:tcW w:w="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40" w:type="dxa"/>
            <w:vAlign w:val="bottom"/>
            <w:gridSpan w:val="44"/>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13.2</w:t>
            </w:r>
          </w:p>
        </w:tc>
        <w:tc>
          <w:tcPr>
            <w:tcW w:w="10620" w:type="dxa"/>
            <w:vAlign w:val="bottom"/>
            <w:gridSpan w:val="68"/>
          </w:tcPr>
          <w:p>
            <w:pPr>
              <w:spacing w:after="0" w:line="181" w:lineRule="exact"/>
              <w:rPr>
                <w:sz w:val="20"/>
                <w:szCs w:val="20"/>
                <w:color w:val="auto"/>
              </w:rPr>
            </w:pPr>
            <w:r>
              <w:rPr>
                <w:rFonts w:ascii="Times New Roman" w:cs="Times New Roman" w:eastAsia="Times New Roman" w:hAnsi="Times New Roman"/>
                <w:sz w:val="17"/>
                <w:szCs w:val="17"/>
                <w:color w:val="0000EE"/>
                <w:w w:val="99"/>
              </w:rPr>
              <w:t>Capital Product Partners L.P. Certification of Nikolaos Kalapotharakos, Chief Financial Officer, pursuant to 18 U.S.C. Section 1350, as adopted pursuant to</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7"/>
          </w:tcPr>
          <w:p>
            <w:pPr>
              <w:spacing w:after="0" w:line="181" w:lineRule="exact"/>
              <w:rPr>
                <w:sz w:val="20"/>
                <w:szCs w:val="20"/>
                <w:color w:val="auto"/>
              </w:rPr>
            </w:pPr>
            <w:r>
              <w:rPr>
                <w:rFonts w:ascii="Times New Roman" w:cs="Times New Roman" w:eastAsia="Times New Roman" w:hAnsi="Times New Roman"/>
                <w:sz w:val="17"/>
                <w:szCs w:val="17"/>
                <w:color w:val="0000EE"/>
                <w:w w:val="97"/>
              </w:rPr>
              <w:t>Section 906 of the U.S. Sarbanes-Oxley Act of 2002*</w:t>
            </w:r>
          </w:p>
        </w:tc>
        <w:tc>
          <w:tcPr>
            <w:tcW w:w="4780" w:type="dxa"/>
            <w:vAlign w:val="bottom"/>
            <w:tcBorders>
              <w:top w:val="single" w:sz="8" w:color="0000EE"/>
            </w:tcBorders>
            <w:gridSpan w:val="44"/>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101.INS Inline XBRL Instance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101.SCHInline XBRL Taxonomy Extension Schema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101.CALInline XBRL Taxonomy Extension Calculation Linkbase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101.DEFInline XBRL Taxonomy Definition Linkbase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101.LABInline XBRL Taxonomy Extension Label Linkbase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101.PRE Inline XBRL Taxonomy Extension Presentation Linkbase Document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380" w:type="dxa"/>
            <w:vAlign w:val="bottom"/>
            <w:gridSpan w:val="51"/>
          </w:tcPr>
          <w:p>
            <w:pPr>
              <w:spacing w:after="0"/>
              <w:rPr>
                <w:sz w:val="20"/>
                <w:szCs w:val="20"/>
                <w:color w:val="auto"/>
              </w:rPr>
            </w:pPr>
            <w:r>
              <w:rPr>
                <w:rFonts w:ascii="Times New Roman" w:cs="Times New Roman" w:eastAsia="Times New Roman" w:hAnsi="Times New Roman"/>
                <w:sz w:val="17"/>
                <w:szCs w:val="17"/>
                <w:color w:val="auto"/>
              </w:rPr>
              <w:t>Cover Page Interactive Data File (Inline XBRL)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4"/>
        </w:trPr>
        <w:tc>
          <w:tcPr>
            <w:tcW w:w="620" w:type="dxa"/>
            <w:vAlign w:val="bottom"/>
          </w:tcPr>
          <w:p>
            <w:pPr>
              <w:spacing w:after="0"/>
              <w:rPr>
                <w:sz w:val="24"/>
                <w:szCs w:val="24"/>
                <w:color w:val="auto"/>
              </w:rPr>
            </w:pPr>
          </w:p>
        </w:tc>
        <w:tc>
          <w:tcPr>
            <w:tcW w:w="6080" w:type="dxa"/>
            <w:vAlign w:val="bottom"/>
            <w:gridSpan w:val="28"/>
          </w:tcPr>
          <w:p>
            <w:pPr>
              <w:ind w:left="4920"/>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c>
          <w:tcPr>
            <w:tcW w:w="0" w:type="dxa"/>
            <w:vAlign w:val="bottom"/>
          </w:tcPr>
          <w:p>
            <w:pPr>
              <w:spacing w:after="0"/>
              <w:rPr>
                <w:sz w:val="1"/>
                <w:szCs w:val="1"/>
                <w:color w:val="auto"/>
              </w:rPr>
            </w:pPr>
          </w:p>
        </w:tc>
      </w:tr>
      <w:tr>
        <w:trPr>
          <w:trHeight w:val="20"/>
        </w:trPr>
        <w:tc>
          <w:tcPr>
            <w:tcW w:w="10020" w:type="dxa"/>
            <w:vAlign w:val="bottom"/>
            <w:tcBorders>
              <w:bottom w:val="single" w:sz="8" w:color="auto"/>
            </w:tcBorders>
            <w:gridSpan w:val="54"/>
          </w:tcPr>
          <w:p>
            <w:pPr>
              <w:spacing w:after="0" w:line="20" w:lineRule="exact"/>
              <w:rPr>
                <w:sz w:val="1"/>
                <w:szCs w:val="1"/>
                <w:color w:val="auto"/>
              </w:rPr>
            </w:pPr>
          </w:p>
        </w:tc>
        <w:tc>
          <w:tcPr>
            <w:tcW w:w="1180" w:type="dxa"/>
            <w:vAlign w:val="bottom"/>
            <w:tcBorders>
              <w:top w:val="single" w:sz="8" w:color="0000EE"/>
              <w:bottom w:val="single" w:sz="8" w:color="auto"/>
            </w:tcBorders>
            <w:gridSpan w:val="13"/>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45" w:right="339" w:bottom="1440" w:gutter="0" w:footer="0" w:header="0"/>
        </w:sectPr>
      </w:pPr>
    </w:p>
    <w:bookmarkStart w:id="95" w:name="page96"/>
    <w:bookmarkEnd w:id="95"/>
    <w:p>
      <w:pPr>
        <w:ind w:left="340" w:right="20" w:hanging="340"/>
        <w:spacing w:after="0" w:line="256" w:lineRule="auto"/>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Capital Product Partners L.P.’s Registration Statement on Form F-1 (File No. 333-141422), filed with the SEC on March 19, 2007 and hereby incorporated by reference to such Registration Statement.</w:t>
      </w: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 Report on Form 6-K with the SEC on April 30, 2008.</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 Report on Form 6-K with the SEC on February 24, 2010.</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 Report on Form 6-K with the SEC on September 30, 2011.</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the registrant’s Annual Report on Form 20-F for the year ended December 31, 2010 and filed with the SEC on February 4, 2011.</w:t>
      </w:r>
    </w:p>
    <w:p>
      <w:pPr>
        <w:spacing w:after="0" w:line="16"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furnished as a Report on Form 6-K with the SEC on May 23, 2012.</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furnished as a Report on Form 6-K with the SEC on March 21, 2013.</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the registrant’s Annual Report on Form 20-F for the year ended December 31, 2012 and filed with the SEC on February 5, 2013.</w:t>
      </w:r>
    </w:p>
    <w:p>
      <w:pPr>
        <w:spacing w:after="0" w:line="16"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furnished as a Report on Form 6-K with the SEC on August 26, 2014.</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furnished as a Report on Form 6-K with the SEC on July 29, 2014.</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furnished as Exhibit I to a Report on Form 6-K with the SEC on March 14, 2019.</w:t>
      </w:r>
    </w:p>
    <w:p>
      <w:pPr>
        <w:spacing w:after="0" w:line="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Exhibit 10.1 to a registration statement on Form F-3 with the SEC on October 25, 2019.</w:t>
      </w:r>
    </w:p>
    <w:p>
      <w:pPr>
        <w:spacing w:after="0" w:line="4" w:lineRule="exact"/>
        <w:rPr>
          <w:rFonts w:ascii="Times New Roman" w:cs="Times New Roman" w:eastAsia="Times New Roman" w:hAnsi="Times New Roman"/>
          <w:sz w:val="17"/>
          <w:szCs w:val="17"/>
          <w:color w:val="auto"/>
        </w:rPr>
      </w:pPr>
    </w:p>
    <w:p>
      <w:pPr>
        <w:ind w:left="340" w:right="280" w:hanging="340"/>
        <w:spacing w:after="0" w:line="246" w:lineRule="auto"/>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Capital Product Partners L.P.’s Annual Report on Form 20-F for the year ended December 31, 2019 and filed with the SEC on February 28, 2020.</w:t>
      </w:r>
    </w:p>
    <w:p>
      <w:pPr>
        <w:ind w:left="340" w:right="280" w:hanging="340"/>
        <w:spacing w:after="0" w:line="246" w:lineRule="auto"/>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Capital Product Partners L.P.’s Annual Report on Form 20-F for the year ended December 31, 2020 and filed with the SEC on April 27, 2021.</w:t>
      </w:r>
    </w:p>
    <w:p>
      <w:pPr>
        <w:ind w:left="340" w:hanging="340"/>
        <w:spacing w:after="0"/>
        <w:tabs>
          <w:tab w:leader="none" w:pos="3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Capital Product Partners L.P.’s Annual Report on Form 20-F for the year ended December 31, 2021 and filed with the SEC on</w:t>
      </w:r>
    </w:p>
    <w:p>
      <w:pPr>
        <w:spacing w:after="0" w:line="189" w:lineRule="exact"/>
        <w:rPr>
          <w:sz w:val="20"/>
          <w:szCs w:val="20"/>
          <w:color w:val="auto"/>
        </w:rPr>
      </w:pPr>
    </w:p>
    <w:p>
      <w:pPr>
        <w:ind w:left="340" w:hanging="340"/>
        <w:spacing w:after="0"/>
        <w:tabs>
          <w:tab w:leader="none" w:pos="3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only and not filed</w:t>
      </w:r>
    </w:p>
    <w:p>
      <w:pPr>
        <w:spacing w:after="0" w:line="105" w:lineRule="exact"/>
        <w:rPr>
          <w:sz w:val="20"/>
          <w:szCs w:val="20"/>
          <w:color w:val="auto"/>
        </w:rPr>
      </w:pPr>
    </w:p>
    <w:p>
      <w:pPr>
        <w:jc w:val="both"/>
        <w:ind w:left="5540"/>
        <w:spacing w:after="0"/>
        <w:tabs>
          <w:tab w:leader="none" w:pos="9999"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Annual Report to be signed on its behalf by the undersigned, thereunto duly authorized. CAPITAL PRODUCT PARTNERS L.P.</w:t>
      </w:r>
    </w:p>
    <w:p>
      <w:pPr>
        <w:spacing w:after="0" w:line="200" w:lineRule="exact"/>
        <w:rPr>
          <w:sz w:val="20"/>
          <w:szCs w:val="20"/>
          <w:color w:val="auto"/>
        </w:rPr>
      </w:pPr>
    </w:p>
    <w:p>
      <w:pPr>
        <w:spacing w:after="0" w:line="3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Capital GP L.L.C., its</w:t>
      </w:r>
    </w:p>
    <w:p>
      <w:pPr>
        <w:spacing w:after="0" w:line="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By:  general partner</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Gerasimos (Jerry)</w:t>
      </w:r>
    </w:p>
    <w:p>
      <w:pPr>
        <w:spacing w:after="0" w:line="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By:  Kalogiratos</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Gerasimos (Jerry)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-123190</wp:posOffset>
            </wp:positionV>
            <wp:extent cx="10737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17"/>
          <w:szCs w:val="17"/>
          <w:color w:val="auto"/>
        </w:rPr>
        <w:t>Name:  Kalogiratos</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Title:  of Capital GP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26, 2023</w:t>
      </w:r>
    </w:p>
    <w:p>
      <w:pPr>
        <w:spacing w:after="0" w:line="200" w:lineRule="exact"/>
        <w:rPr>
          <w:sz w:val="20"/>
          <w:szCs w:val="20"/>
          <w:color w:val="auto"/>
        </w:rPr>
      </w:pPr>
    </w:p>
    <w:p>
      <w:pPr>
        <w:spacing w:after="0" w:line="318" w:lineRule="exact"/>
        <w:rPr>
          <w:sz w:val="20"/>
          <w:szCs w:val="20"/>
          <w:color w:val="auto"/>
        </w:rPr>
      </w:pPr>
    </w:p>
    <w:p>
      <w:pPr>
        <w:ind w:left="5540"/>
        <w:spacing w:after="0"/>
        <w:tabs>
          <w:tab w:leader="none" w:pos="1000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PRODUCT PARTNERS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Report of Independent Registered Public Accounting Firm (PCAOB ID No. 1163)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Consolidated Balance Sheets as of December 31, 2022 and 2021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Consolidated Statements of Comprehensive Income / (Loss) for the years ended December 31, 2022, 2021 and 2020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Consolidated Statements of Changes in Partners’ Capital for the years ended December 31, 2022, 2021 and 2020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Consolidated Statements of Cash Flows for the years ended December 31, 2022, 2021 and 2020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1084580</wp:posOffset>
            </wp:positionV>
            <wp:extent cx="71424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-118745</wp:posOffset>
            </wp:positionV>
            <wp:extent cx="309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309880" cy="8255"/>
                    </a:xfrm>
                    <a:prstGeom prst="rect">
                      <a:avLst/>
                    </a:prstGeom>
                    <a:noFill/>
                  </pic:spPr>
                </pic:pic>
              </a:graphicData>
            </a:graphic>
          </wp:anchor>
        </w:drawing>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F-2</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F-3</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F-4</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F-5</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u w:val="single" w:color="auto"/>
          <w:color w:val="0000EE"/>
        </w:rPr>
        <w:t>F-6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2">
            <w:col w:w="9300" w:space="720"/>
            <w:col w:w="1180"/>
          </w:cols>
          <w:pgMar w:left="320" w:top="545" w:right="379" w:bottom="1440" w:gutter="0" w:footer="0" w:header="0"/>
        </w:sectPr>
      </w:pPr>
    </w:p>
    <w:bookmarkStart w:id="98" w:name="page99"/>
    <w:bookmarkEnd w:id="98"/>
    <w:p>
      <w:pPr>
        <w:ind w:left="27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rPr>
          <w:sz w:val="20"/>
          <w:szCs w:val="20"/>
          <w:color w:val="auto"/>
        </w:rPr>
      </w:pPr>
      <w:r>
        <w:rPr>
          <w:rFonts w:ascii="Arial" w:cs="Arial" w:eastAsia="Arial" w:hAnsi="Arial"/>
          <w:sz w:val="18"/>
          <w:szCs w:val="18"/>
          <w:color w:val="auto"/>
        </w:rPr>
        <w:t>Majuro, Republic of Marshall Islands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have audited the accompanying consolidated balance sheets of Capital Product Partners L.P. and subsidiaries (the "Partnership") as of December 31, 2022 and 2021, the related consolidated statements of comprehensive income, changes in partners’ capital, and cash flows, for each of the three years in the period ended December 31, 2022, and the related notes (collectively referred to as the "financial statements"). In our opinion, the financial statements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3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Partnership's internal control over financial reporting as of December 31, 2022,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2023, expressed an unqualified opinion on the Partnership's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rPr>
          <w:sz w:val="20"/>
          <w:szCs w:val="20"/>
          <w:color w:val="auto"/>
        </w:rPr>
      </w:pPr>
      <w:r>
        <w:rPr>
          <w:rFonts w:ascii="Arial" w:cs="Arial" w:eastAsia="Arial" w:hAnsi="Arial"/>
          <w:sz w:val="18"/>
          <w:szCs w:val="18"/>
          <w:color w:val="auto"/>
        </w:rPr>
        <w:t>April 26,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F- 1</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48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 except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7142480" cy="381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42480" cy="38163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8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As of December 31,</w:t>
            </w:r>
          </w:p>
        </w:tc>
        <w:tc>
          <w:tcPr>
            <w:tcW w:w="0" w:type="dxa"/>
            <w:vAlign w:val="bottom"/>
          </w:tcPr>
          <w:p>
            <w:pPr>
              <w:spacing w:after="0"/>
              <w:rPr>
                <w:sz w:val="1"/>
                <w:szCs w:val="1"/>
                <w:color w:val="auto"/>
              </w:rPr>
            </w:pPr>
          </w:p>
        </w:tc>
      </w:tr>
      <w:tr>
        <w:trPr>
          <w:trHeight w:val="221"/>
        </w:trPr>
        <w:tc>
          <w:tcPr>
            <w:tcW w:w="8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73"/>
        </w:trPr>
        <w:tc>
          <w:tcPr>
            <w:tcW w:w="81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144,635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20,373</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2,102</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assets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7,534</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from related party (Note 4)</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6,817</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Claims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1,599</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166,323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37,684</w:t>
            </w: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Fixed assets</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for vessels under construction – related party (Notes 4, 5)</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Vessels, net (Note 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1,757,897</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1,781,858</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fixed assets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1,781,897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1,781,858</w:t>
            </w: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Above market acquired charters (Note 6)</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32,320</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48,605</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(Note 7)</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10,213</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10,614</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5,722</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1,830,441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1,847,486</w:t>
            </w: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1,996,764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1,885,170</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long-term debt, net (including nil and $10,000 payable to related party as of December 31, 2022 and$</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97,879</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respectively) (Notes 4, 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8,322</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9,823</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parties (Note 4)</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 (Note 9)</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17,476</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11,395</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18,553</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8,919</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118,580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130,801</w:t>
            </w: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Long-term liabilities</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 (including $6,000 payable to related party as of December 31, 2022 and 2021) (Notes 4, 7)</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1,215,865</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1,211,095</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liabilities (Note 8)</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13,525</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Below market acquired charters (Note 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10,368</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14,643</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1,239,758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1,228,905</w:t>
            </w:r>
          </w:p>
        </w:tc>
        <w:tc>
          <w:tcPr>
            <w:tcW w:w="0" w:type="dxa"/>
            <w:vAlign w:val="bottom"/>
          </w:tcPr>
          <w:p>
            <w:pPr>
              <w:spacing w:after="0"/>
              <w:rPr>
                <w:sz w:val="1"/>
                <w:szCs w:val="1"/>
                <w:color w:val="auto"/>
              </w:rPr>
            </w:pPr>
          </w:p>
        </w:tc>
      </w:tr>
      <w:tr>
        <w:trPr>
          <w:trHeight w:val="193"/>
        </w:trPr>
        <w:tc>
          <w:tcPr>
            <w:tcW w:w="81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1,358,338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1,359,706</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Commitments and contingencies (Note 15)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Partner (348,570 General partner units at December 31, 2022 and 2021) (Note 12)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12,414</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10,466</w:t>
            </w: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Limited Partners – Common (20,821,946 units issued and 20,255,707 units outstanding and 19,776,946 units issued and</w:t>
            </w:r>
          </w:p>
        </w:tc>
        <w:tc>
          <w:tcPr>
            <w:tcW w:w="10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634,605</w:t>
            </w:r>
          </w:p>
        </w:tc>
        <w:tc>
          <w:tcPr>
            <w:tcW w:w="100" w:type="dxa"/>
            <w:vAlign w:val="bottom"/>
            <w:shd w:val="clear" w:color="auto" w:fill="CCEEFF"/>
          </w:tcPr>
          <w:p>
            <w:pPr>
              <w:spacing w:after="0"/>
              <w:rPr>
                <w:sz w:val="17"/>
                <w:szCs w:val="17"/>
                <w:color w:val="auto"/>
              </w:rPr>
            </w:pPr>
          </w:p>
        </w:tc>
        <w:tc>
          <w:tcPr>
            <w:tcW w:w="1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519,497</w:t>
            </w:r>
          </w:p>
        </w:tc>
        <w:tc>
          <w:tcPr>
            <w:tcW w:w="0" w:type="dxa"/>
            <w:vAlign w:val="bottom"/>
          </w:tcPr>
          <w:p>
            <w:pPr>
              <w:spacing w:after="0"/>
              <w:rPr>
                <w:sz w:val="1"/>
                <w:szCs w:val="1"/>
                <w:color w:val="auto"/>
              </w:rPr>
            </w:pPr>
          </w:p>
        </w:tc>
      </w:tr>
      <w:tr>
        <w:trPr>
          <w:trHeight w:val="117"/>
        </w:trPr>
        <w:tc>
          <w:tcPr>
            <w:tcW w:w="8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19,394,696 units outstanding as of December 31, 2022 and 2021, respectively) (Note 12)</w:t>
            </w:r>
          </w:p>
        </w:tc>
        <w:tc>
          <w:tcPr>
            <w:tcW w:w="100" w:type="dxa"/>
            <w:vAlign w:val="bottom"/>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81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Units (566,239 units as of December 31, 2022 and 382,250 units as of December 31, 2021) (Note 12)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(3,827)</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81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partners’ capital</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638,426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525,464</w:t>
            </w: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 and partners’ capital</w:t>
            </w: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1,996,764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1,885,170</w:t>
            </w:r>
          </w:p>
        </w:tc>
        <w:tc>
          <w:tcPr>
            <w:tcW w:w="0" w:type="dxa"/>
            <w:vAlign w:val="bottom"/>
          </w:tcPr>
          <w:p>
            <w:pPr>
              <w:spacing w:after="0"/>
              <w:rPr>
                <w:sz w:val="1"/>
                <w:szCs w:val="1"/>
                <w:color w:val="auto"/>
              </w:rPr>
            </w:pPr>
          </w:p>
        </w:tc>
      </w:tr>
      <w:tr>
        <w:trPr>
          <w:trHeight w:val="401"/>
        </w:trPr>
        <w:tc>
          <w:tcPr>
            <w:tcW w:w="9760" w:type="dxa"/>
            <w:vAlign w:val="bottom"/>
            <w:gridSpan w:val="4"/>
          </w:tcPr>
          <w:p>
            <w:pPr>
              <w:ind w:left="27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816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F- 2</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000EE"/>
                <w:w w:val="95"/>
              </w:rPr>
              <w:t>Table of Contents</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-6163310</wp:posOffset>
            </wp:positionV>
            <wp:extent cx="7142480" cy="127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-5908675</wp:posOffset>
            </wp:positionV>
            <wp:extent cx="7142480" cy="127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-5654040</wp:posOffset>
            </wp:positionV>
            <wp:extent cx="7142480" cy="127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-5400040</wp:posOffset>
            </wp:positionV>
            <wp:extent cx="7142480" cy="127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-5137150</wp:posOffset>
            </wp:positionV>
            <wp:extent cx="7142480" cy="135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42480"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-4874895</wp:posOffset>
            </wp:positionV>
            <wp:extent cx="7142480" cy="1270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-4612640</wp:posOffset>
            </wp:positionV>
            <wp:extent cx="7142480" cy="135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42480"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-4349750</wp:posOffset>
            </wp:positionV>
            <wp:extent cx="7142480" cy="127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-4095115</wp:posOffset>
            </wp:positionV>
            <wp:extent cx="7142480"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-3832860</wp:posOffset>
            </wp:positionV>
            <wp:extent cx="7142480"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42480"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-3554730</wp:posOffset>
            </wp:positionV>
            <wp:extent cx="7142480" cy="127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-3173095</wp:posOffset>
            </wp:positionV>
            <wp:extent cx="7142480" cy="1270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-2918460</wp:posOffset>
            </wp:positionV>
            <wp:extent cx="7142480" cy="127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-2663825</wp:posOffset>
            </wp:positionV>
            <wp:extent cx="7142480" cy="135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42480"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-2393315</wp:posOffset>
            </wp:positionV>
            <wp:extent cx="7142480" cy="127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-2138680</wp:posOffset>
            </wp:positionV>
            <wp:extent cx="7142480" cy="127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-1876425</wp:posOffset>
            </wp:positionV>
            <wp:extent cx="7142480" cy="135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42480"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-1605915</wp:posOffset>
            </wp:positionV>
            <wp:extent cx="7142480" cy="1270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-1351280</wp:posOffset>
            </wp:positionV>
            <wp:extent cx="7142480" cy="254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42480" cy="2546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-969645</wp:posOffset>
            </wp:positionV>
            <wp:extent cx="7142480" cy="1270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-707390</wp:posOffset>
            </wp:positionV>
            <wp:extent cx="7142480" cy="142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 except number of units and net income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w w:val="97"/>
              </w:rPr>
              <w:t>For the years ended December 31,</w:t>
            </w: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193"/>
        </w:trPr>
        <w:tc>
          <w:tcPr>
            <w:tcW w:w="7300" w:type="dxa"/>
            <w:vAlign w:val="bottom"/>
            <w:tcBorders>
              <w:bottom w:val="single" w:sz="8" w:color="CCECFF"/>
            </w:tcBorders>
          </w:tcPr>
          <w:p>
            <w:pPr>
              <w:spacing w:after="0"/>
              <w:rPr>
                <w:sz w:val="16"/>
                <w:szCs w:val="16"/>
                <w:color w:val="auto"/>
              </w:rPr>
            </w:pPr>
          </w:p>
        </w:tc>
        <w:tc>
          <w:tcPr>
            <w:tcW w:w="20" w:type="dxa"/>
            <w:vAlign w:val="bottom"/>
            <w:tcBorders>
              <w:bottom w:val="single" w:sz="8" w:color="CCEC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CFF"/>
            </w:tcBorders>
          </w:tcPr>
          <w:p>
            <w:pPr>
              <w:spacing w:after="0"/>
              <w:rPr>
                <w:sz w:val="16"/>
                <w:szCs w:val="16"/>
                <w:color w:val="auto"/>
              </w:rPr>
            </w:pPr>
          </w:p>
        </w:tc>
        <w:tc>
          <w:tcPr>
            <w:tcW w:w="4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line="193" w:lineRule="exact"/>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C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99"/>
              </w:rPr>
              <w:t>2020</w:t>
            </w:r>
          </w:p>
        </w:tc>
        <w:tc>
          <w:tcPr>
            <w:tcW w:w="40" w:type="dxa"/>
            <w:vAlign w:val="bottom"/>
            <w:tcBorders>
              <w:bottom w:val="single" w:sz="8" w:color="auto"/>
            </w:tcBorders>
          </w:tcPr>
          <w:p>
            <w:pPr>
              <w:spacing w:after="0"/>
              <w:rPr>
                <w:sz w:val="16"/>
                <w:szCs w:val="16"/>
                <w:color w:val="auto"/>
              </w:rPr>
            </w:pPr>
          </w:p>
        </w:tc>
      </w:tr>
      <w:tr>
        <w:trPr>
          <w:trHeight w:val="193"/>
        </w:trPr>
        <w:tc>
          <w:tcPr>
            <w:tcW w:w="730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Revenues (Note 3)</w:t>
            </w:r>
          </w:p>
        </w:tc>
        <w:tc>
          <w:tcPr>
            <w:tcW w:w="20" w:type="dxa"/>
            <w:vAlign w:val="bottom"/>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299,071</w:t>
            </w:r>
          </w:p>
        </w:tc>
        <w:tc>
          <w:tcPr>
            <w:tcW w:w="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300" w:type="dxa"/>
            <w:vAlign w:val="bottom"/>
            <w:tcBorders>
              <w:bottom w:val="single" w:sz="8" w:color="auto"/>
            </w:tcBorders>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184,665</w:t>
            </w:r>
          </w:p>
        </w:tc>
        <w:tc>
          <w:tcPr>
            <w:tcW w:w="120" w:type="dxa"/>
            <w:vAlign w:val="bottom"/>
            <w:shd w:val="clear" w:color="auto" w:fill="CCECFF"/>
          </w:tcPr>
          <w:p>
            <w:pPr>
              <w:spacing w:after="0"/>
              <w:rPr>
                <w:sz w:val="16"/>
                <w:szCs w:val="16"/>
                <w:color w:val="auto"/>
              </w:rPr>
            </w:pPr>
          </w:p>
        </w:tc>
        <w:tc>
          <w:tcPr>
            <w:tcW w:w="480" w:type="dxa"/>
            <w:vAlign w:val="bottom"/>
            <w:tcBorders>
              <w:bottom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140,865</w:t>
            </w:r>
          </w:p>
        </w:tc>
      </w:tr>
      <w:tr>
        <w:trPr>
          <w:trHeight w:val="193"/>
        </w:trPr>
        <w:tc>
          <w:tcPr>
            <w:tcW w:w="730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Expenses / (income),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Voyage expenses (Note 10)</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16,236</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10,698</w:t>
            </w: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6,301</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Vessel operating expenses (Note 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58,288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41,199</w:t>
            </w: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33,745</w:t>
            </w: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Vessel operating expenses - related parties (Notes 4, 10)</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9,172</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12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4,976</w:t>
            </w:r>
          </w:p>
        </w:tc>
      </w:tr>
      <w:tr>
        <w:trPr>
          <w:trHeight w:val="184"/>
        </w:trPr>
        <w:tc>
          <w:tcPr>
            <w:tcW w:w="73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General and administrative expenses (including $2,244, $2,013 and $2,049 to related parties, for the years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17"/>
                <w:szCs w:val="17"/>
                <w:color w:val="auto"/>
              </w:rPr>
              <w:t>10,681</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8,662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7,195</w:t>
            </w:r>
          </w:p>
        </w:tc>
      </w:tr>
      <w:tr>
        <w:trPr>
          <w:trHeight w:val="217"/>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ended December 31, 2022, 2021 and 2020, respectively) (Notes 4, 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Gain on sale of vessels (Note 5)</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(47,275)</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(46,812)</w:t>
            </w: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Vessel depreciation and amortization (Note 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69,272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46,935</w:t>
            </w: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41,405</w:t>
            </w:r>
          </w:p>
        </w:tc>
      </w:tr>
      <w:tr>
        <w:trPr>
          <w:trHeight w:val="193"/>
        </w:trPr>
        <w:tc>
          <w:tcPr>
            <w:tcW w:w="730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Operating income</w:t>
            </w:r>
          </w:p>
        </w:tc>
        <w:tc>
          <w:tcPr>
            <w:tcW w:w="20" w:type="dxa"/>
            <w:vAlign w:val="bottom"/>
            <w:tcBorders>
              <w:top w:val="single" w:sz="8" w:color="CCECFF"/>
            </w:tcBorders>
            <w:shd w:val="clear" w:color="auto" w:fill="CCECFF"/>
          </w:tcPr>
          <w:p>
            <w:pPr>
              <w:spacing w:after="0"/>
              <w:rPr>
                <w:sz w:val="16"/>
                <w:szCs w:val="16"/>
                <w:color w:val="auto"/>
              </w:rPr>
            </w:pPr>
          </w:p>
        </w:tc>
        <w:tc>
          <w:tcPr>
            <w:tcW w:w="280" w:type="dxa"/>
            <w:vAlign w:val="bottom"/>
            <w:tcBorders>
              <w:top w:val="single" w:sz="8" w:color="auto"/>
              <w:bottom w:val="single" w:sz="8" w:color="auto"/>
            </w:tcBorders>
            <w:shd w:val="clear" w:color="auto" w:fill="CCECFF"/>
          </w:tcPr>
          <w:p>
            <w:pPr>
              <w:spacing w:after="0"/>
              <w:rPr>
                <w:sz w:val="16"/>
                <w:szCs w:val="16"/>
                <w:color w:val="auto"/>
              </w:rPr>
            </w:pPr>
          </w:p>
        </w:tc>
        <w:tc>
          <w:tcPr>
            <w:tcW w:w="96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182,697</w:t>
            </w:r>
          </w:p>
        </w:tc>
        <w:tc>
          <w:tcPr>
            <w:tcW w:w="60" w:type="dxa"/>
            <w:vAlign w:val="bottom"/>
            <w:tcBorders>
              <w:top w:val="single" w:sz="8" w:color="CCECFF"/>
            </w:tcBorders>
            <w:shd w:val="clear" w:color="auto" w:fill="CCECFF"/>
          </w:tcPr>
          <w:p>
            <w:pPr>
              <w:spacing w:after="0"/>
              <w:rPr>
                <w:sz w:val="16"/>
                <w:szCs w:val="16"/>
                <w:color w:val="auto"/>
              </w:rPr>
            </w:pPr>
          </w:p>
        </w:tc>
        <w:tc>
          <w:tcPr>
            <w:tcW w:w="40" w:type="dxa"/>
            <w:vAlign w:val="bottom"/>
            <w:tcBorders>
              <w:top w:val="single" w:sz="8" w:color="CCECFF"/>
            </w:tcBorders>
            <w:shd w:val="clear" w:color="auto" w:fill="CCECFF"/>
          </w:tcPr>
          <w:p>
            <w:pPr>
              <w:spacing w:after="0"/>
              <w:rPr>
                <w:sz w:val="16"/>
                <w:szCs w:val="16"/>
                <w:color w:val="auto"/>
              </w:rPr>
            </w:pPr>
          </w:p>
        </w:tc>
        <w:tc>
          <w:tcPr>
            <w:tcW w:w="300" w:type="dxa"/>
            <w:vAlign w:val="bottom"/>
            <w:tcBorders>
              <w:top w:val="single" w:sz="8" w:color="auto"/>
              <w:bottom w:val="single" w:sz="8" w:color="auto"/>
            </w:tcBorders>
            <w:shd w:val="clear" w:color="auto" w:fill="CCECFF"/>
          </w:tcPr>
          <w:p>
            <w:pPr>
              <w:spacing w:after="0"/>
              <w:rPr>
                <w:sz w:val="16"/>
                <w:szCs w:val="16"/>
                <w:color w:val="auto"/>
              </w:rPr>
            </w:pPr>
          </w:p>
        </w:tc>
        <w:tc>
          <w:tcPr>
            <w:tcW w:w="94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118,060</w:t>
            </w:r>
          </w:p>
        </w:tc>
        <w:tc>
          <w:tcPr>
            <w:tcW w:w="120" w:type="dxa"/>
            <w:vAlign w:val="bottom"/>
            <w:tcBorders>
              <w:top w:val="single" w:sz="8" w:color="CCECFF"/>
            </w:tcBorders>
            <w:shd w:val="clear" w:color="auto" w:fill="CCECFF"/>
          </w:tcPr>
          <w:p>
            <w:pPr>
              <w:spacing w:after="0"/>
              <w:rPr>
                <w:sz w:val="16"/>
                <w:szCs w:val="16"/>
                <w:color w:val="auto"/>
              </w:rPr>
            </w:pPr>
          </w:p>
        </w:tc>
        <w:tc>
          <w:tcPr>
            <w:tcW w:w="480" w:type="dxa"/>
            <w:vAlign w:val="bottom"/>
            <w:tcBorders>
              <w:top w:val="single" w:sz="8" w:color="auto"/>
              <w:bottom w:val="single" w:sz="8" w:color="auto"/>
            </w:tcBorders>
            <w:shd w:val="clear" w:color="auto" w:fill="CCEC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47,243</w:t>
            </w:r>
          </w:p>
        </w:tc>
      </w:tr>
      <w:tr>
        <w:trPr>
          <w:trHeight w:val="193"/>
        </w:trPr>
        <w:tc>
          <w:tcPr>
            <w:tcW w:w="730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Other income / (expense),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Interest expense and finance cost (Note 7)</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(55,421)</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(20,129)</w:t>
            </w: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(16,741)</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 income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(1,855)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247</w:t>
            </w: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193"/>
        </w:trPr>
        <w:tc>
          <w:tcPr>
            <w:tcW w:w="730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other expense, net</w:t>
            </w:r>
          </w:p>
        </w:tc>
        <w:tc>
          <w:tcPr>
            <w:tcW w:w="20" w:type="dxa"/>
            <w:vAlign w:val="bottom"/>
            <w:tcBorders>
              <w:top w:val="single" w:sz="8" w:color="CCECFF"/>
            </w:tcBorders>
            <w:shd w:val="clear" w:color="auto" w:fill="CCECFF"/>
          </w:tcPr>
          <w:p>
            <w:pPr>
              <w:spacing w:after="0"/>
              <w:rPr>
                <w:sz w:val="16"/>
                <w:szCs w:val="16"/>
                <w:color w:val="auto"/>
              </w:rPr>
            </w:pPr>
          </w:p>
        </w:tc>
        <w:tc>
          <w:tcPr>
            <w:tcW w:w="280" w:type="dxa"/>
            <w:vAlign w:val="bottom"/>
            <w:tcBorders>
              <w:top w:val="single" w:sz="8" w:color="auto"/>
              <w:bottom w:val="single" w:sz="8" w:color="auto"/>
            </w:tcBorders>
            <w:shd w:val="clear" w:color="auto" w:fill="CCECFF"/>
          </w:tcPr>
          <w:p>
            <w:pPr>
              <w:spacing w:after="0"/>
              <w:rPr>
                <w:sz w:val="16"/>
                <w:szCs w:val="16"/>
                <w:color w:val="auto"/>
              </w:rPr>
            </w:pPr>
          </w:p>
        </w:tc>
        <w:tc>
          <w:tcPr>
            <w:tcW w:w="96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(57,276)</w:t>
            </w:r>
          </w:p>
        </w:tc>
        <w:tc>
          <w:tcPr>
            <w:tcW w:w="60" w:type="dxa"/>
            <w:vAlign w:val="bottom"/>
            <w:tcBorders>
              <w:top w:val="single" w:sz="8" w:color="CCECFF"/>
            </w:tcBorders>
            <w:shd w:val="clear" w:color="auto" w:fill="CCECFF"/>
          </w:tcPr>
          <w:p>
            <w:pPr>
              <w:spacing w:after="0"/>
              <w:rPr>
                <w:sz w:val="16"/>
                <w:szCs w:val="16"/>
                <w:color w:val="auto"/>
              </w:rPr>
            </w:pPr>
          </w:p>
        </w:tc>
        <w:tc>
          <w:tcPr>
            <w:tcW w:w="40" w:type="dxa"/>
            <w:vAlign w:val="bottom"/>
            <w:tcBorders>
              <w:top w:val="single" w:sz="8" w:color="CCECFF"/>
            </w:tcBorders>
            <w:shd w:val="clear" w:color="auto" w:fill="CCECFF"/>
          </w:tcPr>
          <w:p>
            <w:pPr>
              <w:spacing w:after="0"/>
              <w:rPr>
                <w:sz w:val="16"/>
                <w:szCs w:val="16"/>
                <w:color w:val="auto"/>
              </w:rPr>
            </w:pPr>
          </w:p>
        </w:tc>
        <w:tc>
          <w:tcPr>
            <w:tcW w:w="300" w:type="dxa"/>
            <w:vAlign w:val="bottom"/>
            <w:tcBorders>
              <w:top w:val="single" w:sz="8" w:color="auto"/>
              <w:bottom w:val="single" w:sz="8" w:color="auto"/>
            </w:tcBorders>
            <w:shd w:val="clear" w:color="auto" w:fill="CCECFF"/>
          </w:tcPr>
          <w:p>
            <w:pPr>
              <w:spacing w:after="0"/>
              <w:rPr>
                <w:sz w:val="16"/>
                <w:szCs w:val="16"/>
                <w:color w:val="auto"/>
              </w:rPr>
            </w:pPr>
          </w:p>
        </w:tc>
        <w:tc>
          <w:tcPr>
            <w:tcW w:w="94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(19,882)</w:t>
            </w:r>
          </w:p>
        </w:tc>
        <w:tc>
          <w:tcPr>
            <w:tcW w:w="120" w:type="dxa"/>
            <w:vAlign w:val="bottom"/>
            <w:tcBorders>
              <w:top w:val="single" w:sz="8" w:color="CCECFF"/>
            </w:tcBorders>
            <w:shd w:val="clear" w:color="auto" w:fill="CCECFF"/>
          </w:tcPr>
          <w:p>
            <w:pPr>
              <w:spacing w:after="0"/>
              <w:rPr>
                <w:sz w:val="16"/>
                <w:szCs w:val="16"/>
                <w:color w:val="auto"/>
              </w:rPr>
            </w:pPr>
          </w:p>
        </w:tc>
        <w:tc>
          <w:tcPr>
            <w:tcW w:w="480" w:type="dxa"/>
            <w:vAlign w:val="bottom"/>
            <w:tcBorders>
              <w:top w:val="single" w:sz="8" w:color="auto"/>
              <w:bottom w:val="single" w:sz="8" w:color="auto"/>
            </w:tcBorders>
            <w:shd w:val="clear" w:color="auto" w:fill="CCEC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(16,876)</w:t>
            </w:r>
          </w:p>
        </w:tc>
      </w:tr>
      <w:tr>
        <w:trPr>
          <w:trHeight w:val="193"/>
        </w:trPr>
        <w:tc>
          <w:tcPr>
            <w:tcW w:w="7300" w:type="dxa"/>
            <w:vAlign w:val="bottom"/>
            <w:tcBorders>
              <w:bottom w:val="single" w:sz="8" w:color="CCEC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Partnership’s net income</w:t>
            </w:r>
          </w:p>
        </w:tc>
        <w:tc>
          <w:tcPr>
            <w:tcW w:w="20" w:type="dxa"/>
            <w:vAlign w:val="bottom"/>
            <w:tcBorders>
              <w:bottom w:val="single" w:sz="8" w:color="CCECFF"/>
            </w:tcBorders>
          </w:tcPr>
          <w:p>
            <w:pPr>
              <w:spacing w:after="0"/>
              <w:rPr>
                <w:sz w:val="16"/>
                <w:szCs w:val="16"/>
                <w:color w:val="auto"/>
              </w:rPr>
            </w:pPr>
          </w:p>
        </w:tc>
        <w:tc>
          <w:tcPr>
            <w:tcW w:w="28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125,421</w:t>
            </w:r>
          </w:p>
        </w:tc>
        <w:tc>
          <w:tcPr>
            <w:tcW w:w="60" w:type="dxa"/>
            <w:vAlign w:val="bottom"/>
            <w:tcBorders>
              <w:bottom w:val="single" w:sz="8" w:color="CCECFF"/>
            </w:tcBorders>
          </w:tcPr>
          <w:p>
            <w:pPr>
              <w:spacing w:after="0"/>
              <w:rPr>
                <w:sz w:val="16"/>
                <w:szCs w:val="16"/>
                <w:color w:val="auto"/>
              </w:rPr>
            </w:pPr>
          </w:p>
        </w:tc>
        <w:tc>
          <w:tcPr>
            <w:tcW w:w="4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98,178</w:t>
            </w:r>
          </w:p>
        </w:tc>
        <w:tc>
          <w:tcPr>
            <w:tcW w:w="120" w:type="dxa"/>
            <w:vAlign w:val="bottom"/>
            <w:tcBorders>
              <w:bottom w:val="single" w:sz="8" w:color="CCECFF"/>
            </w:tcBorders>
          </w:tcPr>
          <w:p>
            <w:pPr>
              <w:spacing w:after="0"/>
              <w:rPr>
                <w:sz w:val="16"/>
                <w:szCs w:val="16"/>
                <w:color w:val="auto"/>
              </w:rPr>
            </w:pPr>
          </w:p>
        </w:tc>
        <w:tc>
          <w:tcPr>
            <w:tcW w:w="48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30,367</w:t>
            </w:r>
          </w:p>
        </w:tc>
      </w:tr>
      <w:tr>
        <w:trPr>
          <w:trHeight w:val="193"/>
        </w:trPr>
        <w:tc>
          <w:tcPr>
            <w:tcW w:w="730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General Partner’s interest in Partnership’s net income (Note 14)</w:t>
            </w:r>
          </w:p>
        </w:tc>
        <w:tc>
          <w:tcPr>
            <w:tcW w:w="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2,157</w:t>
            </w:r>
          </w:p>
        </w:tc>
        <w:tc>
          <w:tcPr>
            <w:tcW w:w="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1,790</w:t>
            </w:r>
          </w:p>
        </w:tc>
        <w:tc>
          <w:tcPr>
            <w:tcW w:w="12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558</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Partnership’s net income allocable to unvested units (Note 14)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3,662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unit holders’ interest in Partnership’s net income (Note 14)</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119,602</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94,335</w:t>
            </w: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29,124</w:t>
            </w:r>
          </w:p>
        </w:tc>
      </w:tr>
      <w:tr>
        <w:trPr>
          <w:trHeight w:val="193"/>
        </w:trPr>
        <w:tc>
          <w:tcPr>
            <w:tcW w:w="730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 per (Note 14):</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 Common unit, basic and diluted</w:t>
            </w:r>
          </w:p>
        </w:tc>
        <w:tc>
          <w:tcPr>
            <w:tcW w:w="30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6.19</w:t>
            </w:r>
          </w:p>
        </w:tc>
        <w:tc>
          <w:tcPr>
            <w:tcW w:w="34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5.14</w:t>
            </w:r>
          </w:p>
        </w:tc>
        <w:tc>
          <w:tcPr>
            <w:tcW w:w="48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units outstanding:</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 Common units, basic and diluted</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19,325,030</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18,342,413</w:t>
            </w:r>
          </w:p>
        </w:tc>
        <w:tc>
          <w:tcPr>
            <w:tcW w:w="480" w:type="dxa"/>
            <w:vAlign w:val="bottom"/>
            <w:shd w:val="clear" w:color="auto" w:fill="CCECFF"/>
          </w:tcPr>
          <w:p>
            <w:pPr>
              <w:spacing w:after="0"/>
              <w:rPr>
                <w:sz w:val="17"/>
                <w:szCs w:val="17"/>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18,194,186</w:t>
            </w: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Partnership’s net income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125,421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98,178</w:t>
            </w: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30,367</w:t>
            </w:r>
          </w:p>
        </w:tc>
      </w:tr>
      <w:tr>
        <w:trPr>
          <w:trHeight w:val="200"/>
        </w:trPr>
        <w:tc>
          <w:tcPr>
            <w:tcW w:w="73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r>
      <w:tr>
        <w:trPr>
          <w:trHeight w:val="200"/>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Unrealized loss on derivative instruments (Note 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(4,766)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7300" w:type="dxa"/>
            <w:vAlign w:val="bottom"/>
            <w:tcBorders>
              <w:top w:val="single" w:sz="8" w:color="CCECFF"/>
              <w:bottom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Partnership’s comprehensive income</w:t>
            </w:r>
          </w:p>
        </w:tc>
        <w:tc>
          <w:tcPr>
            <w:tcW w:w="20" w:type="dxa"/>
            <w:vAlign w:val="bottom"/>
            <w:tcBorders>
              <w:top w:val="single" w:sz="8" w:color="CCECFF"/>
              <w:bottom w:val="single" w:sz="8" w:color="CCECFF"/>
            </w:tcBorders>
            <w:shd w:val="clear" w:color="auto" w:fill="CCECFF"/>
          </w:tcPr>
          <w:p>
            <w:pPr>
              <w:spacing w:after="0"/>
              <w:rPr>
                <w:sz w:val="17"/>
                <w:szCs w:val="17"/>
                <w:color w:val="auto"/>
              </w:rPr>
            </w:pPr>
          </w:p>
        </w:tc>
        <w:tc>
          <w:tcPr>
            <w:tcW w:w="280" w:type="dxa"/>
            <w:vAlign w:val="bottom"/>
            <w:tcBorders>
              <w:top w:val="single" w:sz="8" w:color="auto"/>
              <w:bottom w:val="single" w:sz="8" w:color="auto"/>
            </w:tcBorders>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120,655</w:t>
            </w:r>
          </w:p>
        </w:tc>
        <w:tc>
          <w:tcPr>
            <w:tcW w:w="60" w:type="dxa"/>
            <w:vAlign w:val="bottom"/>
            <w:tcBorders>
              <w:top w:val="single" w:sz="8" w:color="CCECFF"/>
              <w:bottom w:val="single" w:sz="8" w:color="CCECFF"/>
            </w:tcBorders>
            <w:shd w:val="clear" w:color="auto" w:fill="CCECFF"/>
          </w:tcPr>
          <w:p>
            <w:pPr>
              <w:spacing w:after="0"/>
              <w:rPr>
                <w:sz w:val="17"/>
                <w:szCs w:val="17"/>
                <w:color w:val="auto"/>
              </w:rPr>
            </w:pPr>
          </w:p>
        </w:tc>
        <w:tc>
          <w:tcPr>
            <w:tcW w:w="40" w:type="dxa"/>
            <w:vAlign w:val="bottom"/>
            <w:tcBorders>
              <w:top w:val="single" w:sz="8" w:color="CCECFF"/>
              <w:bottom w:val="single" w:sz="8" w:color="CCECFF"/>
            </w:tcBorders>
            <w:shd w:val="clear" w:color="auto" w:fill="CCECFF"/>
          </w:tcPr>
          <w:p>
            <w:pPr>
              <w:spacing w:after="0"/>
              <w:rPr>
                <w:sz w:val="17"/>
                <w:szCs w:val="17"/>
                <w:color w:val="auto"/>
              </w:rPr>
            </w:pPr>
          </w:p>
        </w:tc>
        <w:tc>
          <w:tcPr>
            <w:tcW w:w="300" w:type="dxa"/>
            <w:vAlign w:val="bottom"/>
            <w:tcBorders>
              <w:top w:val="single" w:sz="8" w:color="auto"/>
              <w:bottom w:val="single" w:sz="8" w:color="auto"/>
            </w:tcBorders>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98,178</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480" w:type="dxa"/>
            <w:vAlign w:val="bottom"/>
            <w:tcBorders>
              <w:top w:val="single" w:sz="8" w:color="auto"/>
              <w:bottom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top w:val="single" w:sz="8" w:color="auto"/>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30,367</w:t>
            </w:r>
          </w:p>
        </w:tc>
      </w:tr>
      <w:tr>
        <w:trPr>
          <w:trHeight w:val="401"/>
        </w:trPr>
        <w:tc>
          <w:tcPr>
            <w:tcW w:w="8620" w:type="dxa"/>
            <w:vAlign w:val="bottom"/>
            <w:gridSpan w:val="5"/>
          </w:tcPr>
          <w:p>
            <w:pPr>
              <w:ind w:left="2700"/>
              <w:spacing w:after="0"/>
              <w:rPr>
                <w:sz w:val="20"/>
                <w:szCs w:val="20"/>
                <w:color w:val="auto"/>
              </w:rPr>
            </w:pPr>
            <w:r>
              <w:rPr>
                <w:rFonts w:ascii="Times New Roman" w:cs="Times New Roman" w:eastAsia="Times New Roman" w:hAnsi="Times New Roman"/>
                <w:sz w:val="17"/>
                <w:szCs w:val="17"/>
                <w:color w:val="auto"/>
                <w:w w:val="99"/>
              </w:rPr>
              <w:t>The accompanying notes are an integral part of these consolidated financial statements.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4"/>
        </w:trPr>
        <w:tc>
          <w:tcPr>
            <w:tcW w:w="730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F- 3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Partners’ Capital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General Partner</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00" w:type="dxa"/>
            <w:vAlign w:val="bottom"/>
          </w:tcPr>
          <w:p>
            <w:pPr>
              <w:spacing w:after="0"/>
              <w:rPr>
                <w:sz w:val="17"/>
                <w:szCs w:val="17"/>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w w:val="98"/>
              </w:rPr>
              <w:t>Treasury units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Total Partners’</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Unitholders</w:t>
            </w: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94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at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8,572</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398,165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406,737</w:t>
            </w:r>
          </w:p>
        </w:tc>
        <w:tc>
          <w:tcPr>
            <w:tcW w:w="0" w:type="dxa"/>
            <w:vAlign w:val="bottom"/>
          </w:tcPr>
          <w:p>
            <w:pPr>
              <w:spacing w:after="0"/>
              <w:rPr>
                <w:sz w:val="1"/>
                <w:szCs w:val="1"/>
                <w:color w:val="auto"/>
              </w:rPr>
            </w:pPr>
          </w:p>
        </w:tc>
      </w:tr>
      <w:tr>
        <w:trPr>
          <w:trHeight w:val="176"/>
        </w:trPr>
        <w:tc>
          <w:tcPr>
            <w:tcW w:w="3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Distributions declared / paid (distributions of $ 0.90 per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(314)</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(16,761)</w:t>
            </w:r>
          </w:p>
        </w:tc>
        <w:tc>
          <w:tcPr>
            <w:tcW w:w="200" w:type="dxa"/>
            <w:vAlign w:val="bottom"/>
          </w:tcPr>
          <w:p>
            <w:pPr>
              <w:spacing w:after="0"/>
              <w:rPr>
                <w:sz w:val="15"/>
                <w:szCs w:val="15"/>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(17,075)</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common unit)</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Partnership’s net income</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558</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29,809</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0" w:type="dxa"/>
            <w:vAlign w:val="bottom"/>
          </w:tcPr>
          <w:p>
            <w:pPr>
              <w:spacing w:after="0"/>
              <w:rPr>
                <w:sz w:val="1"/>
                <w:szCs w:val="1"/>
                <w:color w:val="auto"/>
              </w:rPr>
            </w:pPr>
          </w:p>
        </w:tc>
      </w:tr>
      <w:tr>
        <w:trPr>
          <w:trHeight w:val="200"/>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expense (Note 13)</w:t>
            </w: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193"/>
        </w:trPr>
        <w:tc>
          <w:tcPr>
            <w:tcW w:w="394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8,816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413,262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422,078</w:t>
            </w:r>
          </w:p>
        </w:tc>
        <w:tc>
          <w:tcPr>
            <w:tcW w:w="0" w:type="dxa"/>
            <w:vAlign w:val="bottom"/>
          </w:tcPr>
          <w:p>
            <w:pPr>
              <w:spacing w:after="0"/>
              <w:rPr>
                <w:sz w:val="1"/>
                <w:szCs w:val="1"/>
                <w:color w:val="auto"/>
              </w:rPr>
            </w:pPr>
          </w:p>
        </w:tc>
      </w:tr>
      <w:tr>
        <w:trPr>
          <w:trHeight w:val="176"/>
        </w:trPr>
        <w:tc>
          <w:tcPr>
            <w:tcW w:w="3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Distributions declared / paid (distributions of $0.40 per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(7,473)</w:t>
            </w:r>
          </w:p>
        </w:tc>
        <w:tc>
          <w:tcPr>
            <w:tcW w:w="200" w:type="dxa"/>
            <w:vAlign w:val="bottom"/>
          </w:tcPr>
          <w:p>
            <w:pPr>
              <w:spacing w:after="0"/>
              <w:rPr>
                <w:sz w:val="15"/>
                <w:szCs w:val="15"/>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(7,613)</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common unit)</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Partnership’s net income</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1,790</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96,388</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98,178</w:t>
            </w:r>
          </w:p>
        </w:tc>
        <w:tc>
          <w:tcPr>
            <w:tcW w:w="0" w:type="dxa"/>
            <w:vAlign w:val="bottom"/>
          </w:tcPr>
          <w:p>
            <w:pPr>
              <w:spacing w:after="0"/>
              <w:rPr>
                <w:sz w:val="1"/>
                <w:szCs w:val="1"/>
                <w:color w:val="auto"/>
              </w:rPr>
            </w:pPr>
          </w:p>
        </w:tc>
      </w:tr>
      <w:tr>
        <w:trPr>
          <w:trHeight w:val="200"/>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expense (Note 13)</w:t>
            </w: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Issuance of common units in connection with the</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15,277</w:t>
            </w:r>
          </w:p>
        </w:tc>
        <w:tc>
          <w:tcPr>
            <w:tcW w:w="2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15,277</w:t>
            </w:r>
          </w:p>
        </w:tc>
        <w:tc>
          <w:tcPr>
            <w:tcW w:w="0" w:type="dxa"/>
            <w:vAlign w:val="bottom"/>
          </w:tcPr>
          <w:p>
            <w:pPr>
              <w:spacing w:after="0"/>
              <w:rPr>
                <w:sz w:val="1"/>
                <w:szCs w:val="1"/>
                <w:color w:val="auto"/>
              </w:rPr>
            </w:pPr>
          </w:p>
        </w:tc>
      </w:tr>
      <w:tr>
        <w:trPr>
          <w:trHeight w:val="117"/>
        </w:trPr>
        <w:tc>
          <w:tcPr>
            <w:tcW w:w="4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vessel owning companies (Notes 4, 5, 12)</w:t>
            </w:r>
          </w:p>
        </w:tc>
        <w:tc>
          <w:tcPr>
            <w:tcW w:w="14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Repurchase of common units (Note 12)</w:t>
            </w: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0" w:type="dxa"/>
            <w:vAlign w:val="bottom"/>
          </w:tcPr>
          <w:p>
            <w:pPr>
              <w:spacing w:after="0"/>
              <w:rPr>
                <w:sz w:val="1"/>
                <w:szCs w:val="1"/>
                <w:color w:val="auto"/>
              </w:rPr>
            </w:pPr>
          </w:p>
        </w:tc>
      </w:tr>
      <w:tr>
        <w:trPr>
          <w:trHeight w:val="193"/>
        </w:trPr>
        <w:tc>
          <w:tcPr>
            <w:tcW w:w="394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10,466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519,497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(4,499)</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525,464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19"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Distributions declared / paid (distributions of $0.60 per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unit)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Partnership’s net income</w:t>
      </w:r>
    </w:p>
    <w:p>
      <w:pPr>
        <w:spacing w:after="0" w:line="5" w:lineRule="exact"/>
        <w:rPr>
          <w:sz w:val="20"/>
          <w:szCs w:val="20"/>
          <w:color w:val="auto"/>
        </w:rPr>
      </w:pPr>
    </w:p>
    <w:p>
      <w:pPr>
        <w:ind w:right="740"/>
        <w:spacing w:after="0" w:line="246" w:lineRule="auto"/>
        <w:rPr>
          <w:sz w:val="20"/>
          <w:szCs w:val="20"/>
          <w:color w:val="auto"/>
        </w:rPr>
      </w:pPr>
      <w:r>
        <w:rPr>
          <w:rFonts w:ascii="Times New Roman" w:cs="Times New Roman" w:eastAsia="Times New Roman" w:hAnsi="Times New Roman"/>
          <w:sz w:val="17"/>
          <w:szCs w:val="17"/>
          <w:color w:val="auto"/>
        </w:rPr>
        <w:t>Equity compensation expense (Note 13) Re-issuance of treasury units in connection with the acquisition of a vessel owning company (Notes 5, 12) Repurchase of common units (Note 12) Other comprehensive loss (Note 8)</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97"/>
              </w:rPr>
              <w:t>(209)</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(11,946)</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(12,155)</w:t>
            </w:r>
          </w:p>
        </w:tc>
      </w:tr>
      <w:tr>
        <w:trPr>
          <w:trHeight w:val="284"/>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93"/>
              </w:rPr>
              <w:t>2,157</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123,264</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125,421</w:t>
            </w:r>
          </w:p>
        </w:tc>
      </w:tr>
      <w:tr>
        <w:trPr>
          <w:trHeight w:val="217"/>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3,790</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r>
      <w:tr>
        <w:trPr>
          <w:trHeight w:val="301"/>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6,583</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6,583</w:t>
            </w:r>
          </w:p>
        </w:tc>
      </w:tr>
      <w:tr>
        <w:trPr>
          <w:trHeight w:val="284"/>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(5,911)</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(5,911)</w:t>
            </w:r>
          </w:p>
        </w:tc>
      </w:tr>
      <w:tr>
        <w:trPr>
          <w:trHeight w:val="217"/>
        </w:trPr>
        <w:tc>
          <w:tcPr>
            <w:tcW w:w="8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(4,766)</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-762635</wp:posOffset>
            </wp:positionV>
            <wp:extent cx="7142480" cy="127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-508635</wp:posOffset>
            </wp:positionV>
            <wp:extent cx="7142480" cy="254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42480" cy="25463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-126365</wp:posOffset>
            </wp:positionV>
            <wp:extent cx="7142480" cy="127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40" w:space="720"/>
            <w:col w:w="6180"/>
          </w:cols>
          <w:pgMar w:left="320" w:top="219" w:right="339" w:bottom="1440" w:gutter="0" w:footer="0" w:header="0"/>
          <w:type w:val="continuous"/>
        </w:sectPr>
      </w:pPr>
    </w:p>
    <w:p>
      <w:pPr>
        <w:spacing w:after="0"/>
        <w:tabs>
          <w:tab w:leader="none" w:pos="4040" w:val="left"/>
          <w:tab w:leader="none" w:pos="4960" w:val="left"/>
          <w:tab w:leader="none" w:pos="6360" w:val="left"/>
          <w:tab w:leader="none" w:pos="7880" w:val="left"/>
          <w:tab w:leader="none" w:pos="9320" w:val="left"/>
          <w:tab w:leader="none" w:pos="10680" w:val="left"/>
        </w:tabs>
        <w:rPr>
          <w:sz w:val="20"/>
          <w:szCs w:val="20"/>
          <w:color w:val="auto"/>
        </w:rPr>
      </w:pPr>
      <w:r>
        <w:rPr>
          <w:rFonts w:ascii="Times New Roman" w:cs="Times New Roman" w:eastAsia="Times New Roman" w:hAnsi="Times New Roman"/>
          <w:sz w:val="17"/>
          <w:szCs w:val="17"/>
          <w:b w:val="1"/>
          <w:bCs w:val="1"/>
          <w:color w:val="auto"/>
        </w:rPr>
        <w:t>Balance at December 31, 2022</w:t>
      </w:r>
      <w:r>
        <w:rPr>
          <w:sz w:val="20"/>
          <w:szCs w:val="20"/>
          <w:color w:val="auto"/>
        </w:rPr>
        <w:tab/>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12,414 $</w:t>
      </w:r>
      <w:r>
        <w:rPr>
          <w:sz w:val="20"/>
          <w:szCs w:val="20"/>
          <w:color w:val="auto"/>
        </w:rPr>
        <w:tab/>
      </w:r>
      <w:r>
        <w:rPr>
          <w:rFonts w:ascii="Times New Roman" w:cs="Times New Roman" w:eastAsia="Times New Roman" w:hAnsi="Times New Roman"/>
          <w:sz w:val="17"/>
          <w:szCs w:val="17"/>
          <w:b w:val="1"/>
          <w:bCs w:val="1"/>
          <w:color w:val="auto"/>
        </w:rPr>
        <w:t>634,605 $</w:t>
      </w:r>
      <w:r>
        <w:rPr>
          <w:sz w:val="20"/>
          <w:szCs w:val="20"/>
          <w:color w:val="auto"/>
        </w:rPr>
        <w:tab/>
      </w:r>
      <w:r>
        <w:rPr>
          <w:rFonts w:ascii="Times New Roman" w:cs="Times New Roman" w:eastAsia="Times New Roman" w:hAnsi="Times New Roman"/>
          <w:sz w:val="17"/>
          <w:szCs w:val="17"/>
          <w:b w:val="1"/>
          <w:bCs w:val="1"/>
          <w:color w:val="auto"/>
        </w:rPr>
        <w:t>(3,827) $</w:t>
      </w:r>
      <w:r>
        <w:rPr>
          <w:sz w:val="20"/>
          <w:szCs w:val="20"/>
          <w:color w:val="auto"/>
        </w:rPr>
        <w:tab/>
      </w:r>
      <w:r>
        <w:rPr>
          <w:rFonts w:ascii="Times New Roman" w:cs="Times New Roman" w:eastAsia="Times New Roman" w:hAnsi="Times New Roman"/>
          <w:sz w:val="17"/>
          <w:szCs w:val="17"/>
          <w:b w:val="1"/>
          <w:bCs w:val="1"/>
          <w:color w:val="auto"/>
        </w:rPr>
        <w:t>(4,766) $</w:t>
      </w:r>
      <w:r>
        <w:rPr>
          <w:sz w:val="20"/>
          <w:szCs w:val="20"/>
          <w:color w:val="auto"/>
        </w:rPr>
        <w:tab/>
      </w:r>
      <w:r>
        <w:rPr>
          <w:rFonts w:ascii="Times New Roman" w:cs="Times New Roman" w:eastAsia="Times New Roman" w:hAnsi="Times New Roman"/>
          <w:sz w:val="16"/>
          <w:szCs w:val="16"/>
          <w:b w:val="1"/>
          <w:bCs w:val="1"/>
          <w:color w:val="auto"/>
        </w:rPr>
        <w:t>638,426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24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06"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F- 4</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1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line="193" w:lineRule="exact"/>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7"/>
              <w:spacing w:after="0" w:line="193" w:lineRule="exact"/>
              <w:rPr>
                <w:sz w:val="20"/>
                <w:szCs w:val="20"/>
                <w:color w:val="auto"/>
              </w:rPr>
            </w:pPr>
            <w:r>
              <w:rPr>
                <w:rFonts w:ascii="Times New Roman" w:cs="Times New Roman" w:eastAsia="Times New Roman" w:hAnsi="Times New Roman"/>
                <w:sz w:val="17"/>
                <w:szCs w:val="17"/>
                <w:b w:val="1"/>
                <w:bCs w:val="1"/>
                <w:color w:val="auto"/>
                <w:w w:val="99"/>
              </w:rPr>
              <w:t>2020</w:t>
            </w:r>
          </w:p>
        </w:tc>
        <w:tc>
          <w:tcPr>
            <w:tcW w:w="0" w:type="dxa"/>
            <w:vAlign w:val="bottom"/>
          </w:tcPr>
          <w:p>
            <w:pPr>
              <w:spacing w:after="0"/>
              <w:rPr>
                <w:sz w:val="1"/>
                <w:szCs w:val="1"/>
                <w:color w:val="auto"/>
              </w:rPr>
            </w:pPr>
          </w:p>
        </w:tc>
      </w:tr>
      <w:tr>
        <w:trPr>
          <w:trHeight w:val="180"/>
        </w:trPr>
        <w:tc>
          <w:tcPr>
            <w:tcW w:w="7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125,421</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98,178</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to net cash provided by operating activities: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depreciation and amortization (Note 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69,272</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46,935</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41,405</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and write-off of deferred financing costs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2,766</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3,122</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 accretion of above / below market acquired charters (Note 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12,010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7,287</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vessels (Note 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(47,275)</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(46,812)</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expense (Note 13)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3,790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2,043</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derivatives (Note 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10,959</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3,167</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bonds exchange differences (Note 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(10,896)</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(3,374)</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Unrealized cash, cash equivalents and restricted cash exchange differences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(493)</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3,923</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(3,170)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assets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(3,768)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(201)</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Due from related party</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(3,636)</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(1,481)</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Claims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(157)</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(696)</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(252)</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(1,769)</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(472)</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4,215</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2,687</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9,634</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6,098</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Dry-docking costs paid</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(1,895)</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172,568</w:t>
            </w:r>
          </w:p>
        </w:tc>
        <w:tc>
          <w:tcPr>
            <w:tcW w:w="2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111,164</w:t>
            </w:r>
          </w:p>
        </w:tc>
        <w:tc>
          <w:tcPr>
            <w:tcW w:w="2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80,682</w:t>
            </w:r>
          </w:p>
        </w:tc>
        <w:tc>
          <w:tcPr>
            <w:tcW w:w="0" w:type="dxa"/>
            <w:vAlign w:val="bottom"/>
          </w:tcPr>
          <w:p>
            <w:pPr>
              <w:spacing w:after="0"/>
              <w:rPr>
                <w:sz w:val="1"/>
                <w:szCs w:val="1"/>
                <w:color w:val="auto"/>
              </w:rPr>
            </w:pPr>
          </w:p>
        </w:tc>
      </w:tr>
      <w:tr>
        <w:trPr>
          <w:trHeight w:val="193"/>
        </w:trPr>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Vessel acquisitions and improvements including time charter agreements (Notes 5, 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(117,233)</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(368,096)</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(185,247)</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for vessels under construction – related party (Note 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(24,000)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Net proceeds from sale of vessels (Note 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127,124</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193,031</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71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(14,109)</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(175,065)</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(185,247)</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long-term debt (Note 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206,276</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204,266</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270,850</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Deferred financing costs paid</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(4,347)</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(6,131)</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 of long-term debt (Note 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(218,954)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(145,471)</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(153,573)</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common units (Note 12)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(5,911)</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(4,499)</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paid (Note 12)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(12,155)</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(7,613)</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(17,075)</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 provided by financing activities</w:t>
            </w:r>
          </w:p>
        </w:tc>
        <w:tc>
          <w:tcPr>
            <w:tcW w:w="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(35,091)</w:t>
            </w:r>
          </w:p>
        </w:tc>
        <w:tc>
          <w:tcPr>
            <w:tcW w:w="2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40,552</w:t>
            </w:r>
          </w:p>
        </w:tc>
        <w:tc>
          <w:tcPr>
            <w:tcW w:w="2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95,437</w:t>
            </w:r>
          </w:p>
        </w:tc>
        <w:tc>
          <w:tcPr>
            <w:tcW w:w="0" w:type="dxa"/>
            <w:vAlign w:val="bottom"/>
          </w:tcPr>
          <w:p>
            <w:pPr>
              <w:spacing w:after="0"/>
              <w:rPr>
                <w:sz w:val="1"/>
                <w:szCs w:val="1"/>
                <w:color w:val="auto"/>
              </w:rPr>
            </w:pPr>
          </w:p>
        </w:tc>
      </w:tr>
      <w:tr>
        <w:trPr>
          <w:trHeight w:val="193"/>
        </w:trPr>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increase / (decrease) in cash, cash equivalents and restricted cash</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123,368</w:t>
            </w: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(23,349)</w:t>
            </w:r>
          </w:p>
        </w:tc>
        <w:tc>
          <w:tcPr>
            <w:tcW w:w="2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(9,128)</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493</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at the beginning of the year</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30,987</w:t>
            </w: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54,336</w:t>
            </w:r>
          </w:p>
        </w:tc>
        <w:tc>
          <w:tcPr>
            <w:tcW w:w="2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63,464</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at the end of the year</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154,848</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30,987</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54,336</w:t>
            </w:r>
          </w:p>
        </w:tc>
        <w:tc>
          <w:tcPr>
            <w:tcW w:w="0" w:type="dxa"/>
            <w:vAlign w:val="bottom"/>
          </w:tcPr>
          <w:p>
            <w:pPr>
              <w:spacing w:after="0"/>
              <w:rPr>
                <w:sz w:val="1"/>
                <w:szCs w:val="1"/>
                <w:color w:val="auto"/>
              </w:rPr>
            </w:pPr>
          </w:p>
        </w:tc>
      </w:tr>
      <w:tr>
        <w:trPr>
          <w:trHeight w:val="193"/>
        </w:trPr>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49,179</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15,750</w:t>
            </w:r>
          </w:p>
        </w:tc>
        <w:tc>
          <w:tcPr>
            <w:tcW w:w="4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15,347</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Seller’s credit agreements in connection with the acquisition of vessel owning companies (Notes 5, 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16,000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7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Financing arrangements and credit facility assumed in connection with the acquisition of vessel owning</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866,344</w:t>
            </w: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7"/>
        </w:trPr>
        <w:tc>
          <w:tcPr>
            <w:tcW w:w="7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companies (Notes 5, 7)</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1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units in connection with the acquisition of vessel owning companies (Notes 5, 12)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15,277</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Re-issuance of treasury units in connection with the acquisition of a vessel owning company (Notes 5, 12)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6,583</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 included in liabilities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1,663</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1,008</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dry-docking costs included in liabilities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123</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Deferred financing costs included in liabilities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220</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112</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 for sale of vessels included in liabilities (Note 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1,300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1,984</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144,635</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20,373</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47,336</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 - Non-current assets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10,213</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10,614</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0" w:type="dxa"/>
            <w:vAlign w:val="bottom"/>
          </w:tcPr>
          <w:p>
            <w:pPr>
              <w:spacing w:after="0"/>
              <w:rPr>
                <w:sz w:val="1"/>
                <w:szCs w:val="1"/>
                <w:color w:val="auto"/>
              </w:rPr>
            </w:pPr>
          </w:p>
        </w:tc>
      </w:tr>
      <w:tr>
        <w:trPr>
          <w:trHeight w:val="198"/>
        </w:trPr>
        <w:tc>
          <w:tcPr>
            <w:tcW w:w="714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cash, cash equivalents and restricted cash shown in the statements of cash flows</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154,848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30,987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54,336</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06"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F- 5</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 and General Information</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Capital Product Partners, L.P. was formed on January 16, 2007, under the laws of the Marshall Islands. Capital Product Partners, L.P. and its fully owned subsidiaries (collectively the “Partnership”) is an international shipping company. As of December 31, 2022, its fleet of 20 high specification vessels consisted of 10 Neo-Panamax container carrier vessels, three Panamax container carrier vessels, one Cape-size bulk carrier vessel and six X-DF Liquefied natural gas carrier (“LNG/C”) vessels. Its vessels are capable of carrying a wide range of cargoes including liquefied natural gas, containerized goods and dry bulk cargo under short-term voyage charters and medium to long-term time charters.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CPLP Shipping Holdings PLC</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August 14, 2021, the Partnership established CPLP Shipping Holdings PLC (“CPLP PLC”) a 100% subsidiary of the Partnership. CPLP PLC was established in Cyprus as a public limited liability company in accordance with the provisions of the Companies Law of Cyprus, Chapter 113. On July 22, 2022 and October 20, 2021, the Partnership, through its fully owned subsidiary, CPLP PLC, issued two unsecured bonds of €100,000,000 (the “2022 Bonds”) and €150,000,000 (the “2021 Bonds”) on the Athens Stock Exchange respectively. The 2022 Bonds and the 2021 Bonds are guaranteed by the Partnership, will mature in July 2029 and October 2026 and have a coupon payable semi-annually of 4.40% and 2.65% respectively (Note 7).</w:t>
      </w:r>
    </w:p>
    <w:p>
      <w:pPr>
        <w:spacing w:after="0" w:line="276"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F- 6</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 and General Information - Continued</w:t>
      </w:r>
    </w:p>
    <w:p>
      <w:pPr>
        <w:spacing w:after="0" w:line="2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As of December 31, 2022, the consolidated financial statements include Capital Product Partners, L.P. and the following wholly owned significant subsidiaries which were all incorporated or formed under the laws of the Marshall Islands, Liberia or Cyprus.</w:t>
      </w:r>
    </w:p>
    <w:tbl>
      <w:tblPr>
        <w:tblLayout w:type="fixed"/>
        <w:tblInd w:w="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Date acquired</w:t>
            </w:r>
          </w:p>
        </w:tc>
        <w:tc>
          <w:tcPr>
            <w:tcW w:w="198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8"/>
              </w:rPr>
              <w:t>Date acquired by Capital</w:t>
            </w:r>
          </w:p>
        </w:tc>
        <w:tc>
          <w:tcPr>
            <w:tcW w:w="0" w:type="dxa"/>
            <w:vAlign w:val="bottom"/>
          </w:tcPr>
          <w:p>
            <w:pPr>
              <w:spacing w:after="0"/>
              <w:rPr>
                <w:sz w:val="1"/>
                <w:szCs w:val="1"/>
                <w:color w:val="auto"/>
              </w:rPr>
            </w:pPr>
          </w:p>
        </w:tc>
      </w:tr>
      <w:tr>
        <w:trPr>
          <w:trHeight w:val="171"/>
        </w:trPr>
        <w:tc>
          <w:tcPr>
            <w:tcW w:w="18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2420" w:type="dxa"/>
            <w:vAlign w:val="bottom"/>
          </w:tcPr>
          <w:p>
            <w:pPr>
              <w:jc w:val="center"/>
              <w:ind w:left="537"/>
              <w:spacing w:after="0" w:line="171" w:lineRule="exact"/>
              <w:rPr>
                <w:sz w:val="20"/>
                <w:szCs w:val="20"/>
                <w:color w:val="auto"/>
              </w:rPr>
            </w:pPr>
            <w:r>
              <w:rPr>
                <w:rFonts w:ascii="Times New Roman" w:cs="Times New Roman" w:eastAsia="Times New Roman" w:hAnsi="Times New Roman"/>
                <w:sz w:val="17"/>
                <w:szCs w:val="17"/>
                <w:b w:val="1"/>
                <w:bCs w:val="1"/>
                <w:color w:val="auto"/>
                <w:w w:val="99"/>
              </w:rPr>
              <w:t>Date of</w:t>
            </w: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7"/>
              </w:rPr>
              <w:t>Name of Vessel Owned by</w:t>
            </w:r>
          </w:p>
        </w:tc>
        <w:tc>
          <w:tcPr>
            <w:tcW w:w="1280" w:type="dxa"/>
            <w:vAlign w:val="bottom"/>
          </w:tcPr>
          <w:p>
            <w:pPr>
              <w:jc w:val="center"/>
              <w:ind w:left="217"/>
              <w:spacing w:after="0" w:line="171" w:lineRule="exact"/>
              <w:rPr>
                <w:sz w:val="20"/>
                <w:szCs w:val="20"/>
                <w:color w:val="auto"/>
              </w:rPr>
            </w:pPr>
            <w:r>
              <w:rPr>
                <w:rFonts w:ascii="Times New Roman" w:cs="Times New Roman" w:eastAsia="Times New Roman" w:hAnsi="Times New Roman"/>
                <w:sz w:val="17"/>
                <w:szCs w:val="17"/>
                <w:b w:val="1"/>
                <w:bCs w:val="1"/>
                <w:color w:val="auto"/>
              </w:rPr>
              <w:t>Deadweight</w:t>
            </w:r>
          </w:p>
        </w:tc>
        <w:tc>
          <w:tcPr>
            <w:tcW w:w="1120" w:type="dxa"/>
            <w:vAlign w:val="bottom"/>
            <w:vMerge w:val="continue"/>
          </w:tcPr>
          <w:p>
            <w:pPr>
              <w:spacing w:after="0"/>
              <w:rPr>
                <w:sz w:val="14"/>
                <w:szCs w:val="14"/>
                <w:color w:val="auto"/>
              </w:rPr>
            </w:pPr>
          </w:p>
        </w:tc>
        <w:tc>
          <w:tcPr>
            <w:tcW w:w="198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7"/>
              </w:rPr>
              <w:t>Maritime &amp; Trading Corp.</w:t>
            </w:r>
          </w:p>
        </w:tc>
        <w:tc>
          <w:tcPr>
            <w:tcW w:w="0" w:type="dxa"/>
            <w:vAlign w:val="bottom"/>
          </w:tcPr>
          <w:p>
            <w:pPr>
              <w:spacing w:after="0"/>
              <w:rPr>
                <w:sz w:val="1"/>
                <w:szCs w:val="1"/>
                <w:color w:val="auto"/>
              </w:rPr>
            </w:pPr>
          </w:p>
        </w:tc>
      </w:tr>
      <w:tr>
        <w:trPr>
          <w:trHeight w:val="130"/>
        </w:trPr>
        <w:tc>
          <w:tcPr>
            <w:tcW w:w="1800" w:type="dxa"/>
            <w:vAlign w:val="bottom"/>
            <w:vMerge w:val="continue"/>
          </w:tcPr>
          <w:p>
            <w:pPr>
              <w:spacing w:after="0"/>
              <w:rPr>
                <w:sz w:val="11"/>
                <w:szCs w:val="11"/>
                <w:color w:val="auto"/>
              </w:rPr>
            </w:pPr>
          </w:p>
        </w:tc>
        <w:tc>
          <w:tcPr>
            <w:tcW w:w="2420" w:type="dxa"/>
            <w:vAlign w:val="bottom"/>
            <w:vMerge w:val="restart"/>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7"/>
              </w:rPr>
              <w:t>Incorporation</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Subsidiary</w:t>
            </w:r>
          </w:p>
        </w:tc>
        <w:tc>
          <w:tcPr>
            <w:tcW w:w="1280" w:type="dxa"/>
            <w:vAlign w:val="bottom"/>
            <w:vMerge w:val="restart"/>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5"/>
              </w:rPr>
              <w:t>(“DWT”)</w:t>
            </w:r>
          </w:p>
        </w:tc>
        <w:tc>
          <w:tcPr>
            <w:tcW w:w="1120" w:type="dxa"/>
            <w:vAlign w:val="bottom"/>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by the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(“CMTC”) or CGC</w:t>
            </w: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Partnership</w:t>
            </w: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Operating Corp. (“CGC”)</w:t>
            </w: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-508635</wp:posOffset>
            </wp:positionV>
            <wp:extent cx="7142480" cy="4286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42480" cy="428688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tbl>
      <w:tblPr>
        <w:tblLayout w:type="fixed"/>
        <w:tblInd w:w="0" w:type="dxa"/>
        <w:tblCellMar>
          <w:top w:w="0" w:type="dxa"/>
          <w:left w:w="0" w:type="dxa"/>
          <w:bottom w:w="0" w:type="dxa"/>
          <w:right w:w="0" w:type="dxa"/>
        </w:tblCellMar>
      </w:tblPr>
      <w:tr>
        <w:trPr>
          <w:trHeight w:val="19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Capital Product Operating LLC</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01/16/2007</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CPLP Shipping Holdings PLC</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08/14/2021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CPLP Gas Operating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08/24/2021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Patroklos Marine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06/17/2008</w:t>
            </w: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Agamemnon Container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04/19/2012</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Archimidis Container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04/19/2012</w:t>
            </w:r>
          </w:p>
        </w:tc>
      </w:tr>
      <w:tr>
        <w:trPr>
          <w:trHeight w:val="22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Anax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04/08/2011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Hercules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04/08/2011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Iason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04/08/2011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Thiseas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04/08/2011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Cronus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07/19/2011</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Dias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05/16/2013</w:t>
            </w: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Poseidon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05/16/2013</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Atrotos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10/25/2013</w:t>
            </w:r>
          </w:p>
        </w:tc>
      </w:tr>
      <w:tr>
        <w:trPr>
          <w:trHeight w:val="22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Deka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03/28/2017</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Jupiter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03/28/2017</w:t>
            </w:r>
          </w:p>
        </w:tc>
      </w:tr>
      <w:tr>
        <w:trPr>
          <w:trHeight w:val="20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Nikitis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03/28/2017</w:t>
            </w: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Neos Container Carriers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09/04/2020</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Maistros Container Carriers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09/04/2020</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Filos Container Carriers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09/04/2020</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Panormos Container Carrier S.A.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12/17/2020</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Assos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07/16/2018</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Dias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07/16/2018</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Atrotos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07/16/2018</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Poseidon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07/16/2018</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Maximus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04/10/2019</w:t>
            </w: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Kronos Gas Carrier Corp.</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02/04/2019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3"/>
              </w:rPr>
              <w:t>—</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3"/>
              </w:rPr>
              <w:t>—</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3"/>
              </w:rPr>
              <w:t>—</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M/V Cape Agamemnon</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179,221</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06/09/2011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01/25/2011</w:t>
            </w:r>
          </w:p>
        </w:tc>
      </w:tr>
      <w:tr>
        <w:trPr>
          <w:trHeight w:val="238"/>
        </w:trPr>
        <w:tc>
          <w:tcPr>
            <w:tcW w:w="3020" w:type="dxa"/>
            <w:vAlign w:val="bottom"/>
          </w:tcPr>
          <w:p>
            <w:pPr>
              <w:jc w:val="center"/>
              <w:ind w:right="137"/>
              <w:spacing w:after="0" w:line="237" w:lineRule="exact"/>
              <w:rPr>
                <w:sz w:val="20"/>
                <w:szCs w:val="20"/>
                <w:color w:val="auto"/>
              </w:rPr>
            </w:pPr>
            <w:r>
              <w:rPr>
                <w:rFonts w:ascii="Times New Roman" w:cs="Times New Roman" w:eastAsia="Times New Roman" w:hAnsi="Times New Roman"/>
                <w:sz w:val="17"/>
                <w:szCs w:val="17"/>
                <w:color w:val="auto"/>
                <w:w w:val="93"/>
              </w:rPr>
              <w:t xml:space="preserve">M/V Agamemnon </w:t>
            </w:r>
            <w:r>
              <w:rPr>
                <w:rFonts w:ascii="Times New Roman" w:cs="Times New Roman" w:eastAsia="Times New Roman" w:hAnsi="Times New Roman"/>
                <w:sz w:val="27"/>
                <w:szCs w:val="27"/>
                <w:color w:val="auto"/>
                <w:w w:val="93"/>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108,892</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12/22/2012</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06/28/2012</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4"/>
              </w:rPr>
              <w:t xml:space="preserve">M/V Archimidis </w:t>
            </w:r>
            <w:r>
              <w:rPr>
                <w:rFonts w:ascii="Times New Roman" w:cs="Times New Roman" w:eastAsia="Times New Roman" w:hAnsi="Times New Roman"/>
                <w:sz w:val="27"/>
                <w:szCs w:val="27"/>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108,892</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12/22/2012</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06/22/2012</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8"/>
              </w:rPr>
              <w:t>M/V Hyundai Prestige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63,010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09/11/2013</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02/19/2013</w:t>
            </w:r>
          </w:p>
        </w:tc>
      </w:tr>
      <w:tr>
        <w:trPr>
          <w:trHeight w:val="200"/>
        </w:trPr>
        <w:tc>
          <w:tcPr>
            <w:tcW w:w="30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7"/>
              </w:rPr>
              <w:t>M/V Hyundai Premium</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63,010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03/20/2013</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03/11/2013</w:t>
            </w:r>
          </w:p>
        </w:tc>
      </w:tr>
      <w:tr>
        <w:trPr>
          <w:trHeight w:val="200"/>
        </w:trPr>
        <w:tc>
          <w:tcPr>
            <w:tcW w:w="30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8"/>
              </w:rPr>
              <w:t>M/V Hyundai Paramount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63,010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03/27/2013</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03/27/2013</w:t>
            </w:r>
          </w:p>
        </w:tc>
      </w:tr>
      <w:tr>
        <w:trPr>
          <w:trHeight w:val="200"/>
        </w:trPr>
        <w:tc>
          <w:tcPr>
            <w:tcW w:w="30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8"/>
              </w:rPr>
              <w:t>M/V Hyundai Privilege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63,010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09/11/2013</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05/31/2013</w:t>
            </w:r>
          </w:p>
        </w:tc>
      </w:tr>
      <w:tr>
        <w:trPr>
          <w:trHeight w:val="200"/>
        </w:trPr>
        <w:tc>
          <w:tcPr>
            <w:tcW w:w="30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8"/>
              </w:rPr>
              <w:t>M/V Hyundai Platinum</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63,010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09/11/2013</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06/14/2013</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M/V Akadimos (ex CMA CGM Amazon)</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115,534</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06/10/2015</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06/10/2015</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6"/>
              </w:rPr>
              <w:t xml:space="preserve">M/V Adonis (ex CMA CGM Uruguay) </w:t>
            </w:r>
            <w:r>
              <w:rPr>
                <w:rFonts w:ascii="Times New Roman" w:cs="Times New Roman" w:eastAsia="Times New Roman" w:hAnsi="Times New Roman"/>
                <w:sz w:val="27"/>
                <w:szCs w:val="27"/>
                <w:color w:val="auto"/>
                <w:w w:val="96"/>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115,639</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09/18/2015</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09/18/2015</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5"/>
              </w:rPr>
              <w:t xml:space="preserve">M/V CMA CGM Magdalena </w:t>
            </w:r>
            <w:r>
              <w:rPr>
                <w:rFonts w:ascii="Times New Roman" w:cs="Times New Roman" w:eastAsia="Times New Roman" w:hAnsi="Times New Roman"/>
                <w:sz w:val="27"/>
                <w:szCs w:val="27"/>
                <w:color w:val="auto"/>
                <w:w w:val="95"/>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115,639</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02/26/2016</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02/26/2016</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7"/>
              </w:rPr>
              <w:t>M/V Athenian</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118,834</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01/22/2020</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04/28/2017</w:t>
            </w:r>
          </w:p>
        </w:tc>
      </w:tr>
      <w:tr>
        <w:trPr>
          <w:trHeight w:val="20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8"/>
              </w:rPr>
              <w:t>M/V Athos</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118,888</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01/23/2020</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05/19/2017</w:t>
            </w:r>
          </w:p>
        </w:tc>
      </w:tr>
      <w:tr>
        <w:trPr>
          <w:trHeight w:val="200"/>
        </w:trPr>
        <w:tc>
          <w:tcPr>
            <w:tcW w:w="30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8"/>
              </w:rPr>
              <w:t>M/V Aristomenis</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118,712</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01/23/2020</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06/27/2017</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5"/>
              </w:rPr>
              <w:t xml:space="preserve">M/V Long Beach Express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68,618</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02/25/2021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01/07/2021</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5"/>
              </w:rPr>
              <w:t xml:space="preserve">M/V Seattle Express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68,411</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02/25/2021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01/07/2021</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5"/>
              </w:rPr>
              <w:t xml:space="preserve">M/V Fos Express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68,579</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02/25/2021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01/07/2021</w:t>
            </w:r>
          </w:p>
        </w:tc>
      </w:tr>
      <w:tr>
        <w:trPr>
          <w:trHeight w:val="238"/>
        </w:trPr>
        <w:tc>
          <w:tcPr>
            <w:tcW w:w="3020" w:type="dxa"/>
            <w:vAlign w:val="bottom"/>
          </w:tcPr>
          <w:p>
            <w:pPr>
              <w:jc w:val="center"/>
              <w:ind w:right="137"/>
              <w:spacing w:after="0" w:line="237" w:lineRule="exact"/>
              <w:rPr>
                <w:sz w:val="20"/>
                <w:szCs w:val="20"/>
                <w:color w:val="auto"/>
              </w:rPr>
            </w:pPr>
            <w:r>
              <w:rPr>
                <w:rFonts w:ascii="Times New Roman" w:cs="Times New Roman" w:eastAsia="Times New Roman" w:hAnsi="Times New Roman"/>
                <w:sz w:val="17"/>
                <w:szCs w:val="17"/>
                <w:color w:val="auto"/>
                <w:w w:val="95"/>
              </w:rPr>
              <w:t xml:space="preserve">M/V Manzanillo Express </w:t>
            </w:r>
            <w:r>
              <w:rPr>
                <w:rFonts w:ascii="Times New Roman" w:cs="Times New Roman" w:eastAsia="Times New Roman" w:hAnsi="Times New Roman"/>
                <w:sz w:val="27"/>
                <w:szCs w:val="27"/>
                <w:color w:val="auto"/>
                <w:w w:val="95"/>
                <w:vertAlign w:val="superscript"/>
              </w:rPr>
              <w:t>(4)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142,411</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10/12/2022</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10/12/2022</w:t>
            </w:r>
          </w:p>
        </w:tc>
      </w:tr>
      <w:tr>
        <w:trPr>
          <w:trHeight w:val="238"/>
        </w:trPr>
        <w:tc>
          <w:tcPr>
            <w:tcW w:w="3020" w:type="dxa"/>
            <w:vAlign w:val="bottom"/>
          </w:tcPr>
          <w:p>
            <w:pPr>
              <w:jc w:val="center"/>
              <w:ind w:right="137"/>
              <w:spacing w:after="0" w:line="237" w:lineRule="exact"/>
              <w:rPr>
                <w:sz w:val="20"/>
                <w:szCs w:val="20"/>
                <w:color w:val="auto"/>
              </w:rPr>
            </w:pPr>
            <w:r>
              <w:rPr>
                <w:rFonts w:ascii="Times New Roman" w:cs="Times New Roman" w:eastAsia="Times New Roman" w:hAnsi="Times New Roman"/>
                <w:sz w:val="17"/>
                <w:szCs w:val="17"/>
                <w:color w:val="auto"/>
                <w:w w:val="94"/>
              </w:rPr>
              <w:t xml:space="preserve">LNG/C Aristos I </w:t>
            </w:r>
            <w:r>
              <w:rPr>
                <w:rFonts w:ascii="Times New Roman" w:cs="Times New Roman" w:eastAsia="Times New Roman" w:hAnsi="Times New Roman"/>
                <w:sz w:val="27"/>
                <w:szCs w:val="27"/>
                <w:color w:val="auto"/>
                <w:w w:val="94"/>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81,978</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09/03/2021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11/12/2020</w:t>
            </w:r>
          </w:p>
        </w:tc>
      </w:tr>
      <w:tr>
        <w:trPr>
          <w:trHeight w:val="238"/>
        </w:trPr>
        <w:tc>
          <w:tcPr>
            <w:tcW w:w="3020" w:type="dxa"/>
            <w:vAlign w:val="bottom"/>
          </w:tcPr>
          <w:p>
            <w:pPr>
              <w:jc w:val="center"/>
              <w:ind w:right="137"/>
              <w:spacing w:after="0" w:line="237" w:lineRule="exact"/>
              <w:rPr>
                <w:sz w:val="20"/>
                <w:szCs w:val="20"/>
                <w:color w:val="auto"/>
              </w:rPr>
            </w:pPr>
            <w:r>
              <w:rPr>
                <w:rFonts w:ascii="Times New Roman" w:cs="Times New Roman" w:eastAsia="Times New Roman" w:hAnsi="Times New Roman"/>
                <w:sz w:val="17"/>
                <w:szCs w:val="17"/>
                <w:color w:val="auto"/>
                <w:w w:val="95"/>
              </w:rPr>
              <w:t xml:space="preserve">LNG/C Aristarchos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81,956</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09/03/2021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06/15/2021</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5"/>
              </w:rPr>
              <w:t xml:space="preserve">LNG/C Aristidis I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81,898</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12/16/2021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01/04/2021</w:t>
            </w:r>
          </w:p>
        </w:tc>
      </w:tr>
      <w:tr>
        <w:trPr>
          <w:trHeight w:val="238"/>
        </w:trPr>
        <w:tc>
          <w:tcPr>
            <w:tcW w:w="3020" w:type="dxa"/>
            <w:vAlign w:val="bottom"/>
          </w:tcPr>
          <w:p>
            <w:pPr>
              <w:jc w:val="center"/>
              <w:ind w:right="137"/>
              <w:spacing w:after="0" w:line="237" w:lineRule="exact"/>
              <w:rPr>
                <w:sz w:val="20"/>
                <w:szCs w:val="20"/>
                <w:color w:val="auto"/>
              </w:rPr>
            </w:pPr>
            <w:r>
              <w:rPr>
                <w:rFonts w:ascii="Times New Roman" w:cs="Times New Roman" w:eastAsia="Times New Roman" w:hAnsi="Times New Roman"/>
                <w:sz w:val="17"/>
                <w:szCs w:val="17"/>
                <w:color w:val="auto"/>
                <w:w w:val="95"/>
              </w:rPr>
              <w:t xml:space="preserve">LNG/C Attalos </w:t>
            </w:r>
            <w:r>
              <w:rPr>
                <w:rFonts w:ascii="Times New Roman" w:cs="Times New Roman" w:eastAsia="Times New Roman" w:hAnsi="Times New Roman"/>
                <w:sz w:val="27"/>
                <w:szCs w:val="27"/>
                <w:color w:val="auto"/>
                <w:w w:val="95"/>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81,850</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11/18/2021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08/13/2021</w:t>
            </w:r>
          </w:p>
        </w:tc>
      </w:tr>
      <w:tr>
        <w:trPr>
          <w:trHeight w:val="238"/>
        </w:trPr>
        <w:tc>
          <w:tcPr>
            <w:tcW w:w="3020" w:type="dxa"/>
            <w:vAlign w:val="bottom"/>
          </w:tcPr>
          <w:p>
            <w:pPr>
              <w:jc w:val="center"/>
              <w:ind w:right="117"/>
              <w:spacing w:after="0" w:line="237" w:lineRule="exact"/>
              <w:rPr>
                <w:sz w:val="20"/>
                <w:szCs w:val="20"/>
                <w:color w:val="auto"/>
              </w:rPr>
            </w:pPr>
            <w:r>
              <w:rPr>
                <w:rFonts w:ascii="Times New Roman" w:cs="Times New Roman" w:eastAsia="Times New Roman" w:hAnsi="Times New Roman"/>
                <w:sz w:val="17"/>
                <w:szCs w:val="17"/>
                <w:color w:val="auto"/>
                <w:w w:val="94"/>
              </w:rPr>
              <w:t xml:space="preserve">LNG/C Asklipios </w:t>
            </w:r>
            <w:r>
              <w:rPr>
                <w:rFonts w:ascii="Times New Roman" w:cs="Times New Roman" w:eastAsia="Times New Roman" w:hAnsi="Times New Roman"/>
                <w:sz w:val="27"/>
                <w:szCs w:val="27"/>
                <w:color w:val="auto"/>
                <w:w w:val="94"/>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81,882</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11/18/2021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09/29/2021</w:t>
            </w:r>
          </w:p>
        </w:tc>
      </w:tr>
      <w:tr>
        <w:trPr>
          <w:trHeight w:val="370"/>
        </w:trPr>
        <w:tc>
          <w:tcPr>
            <w:tcW w:w="302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w w:val="94"/>
              </w:rPr>
              <w:t xml:space="preserve">LNG/C Adamastos </w:t>
            </w:r>
            <w:r>
              <w:rPr>
                <w:rFonts w:ascii="Times New Roman" w:cs="Times New Roman" w:eastAsia="Times New Roman" w:hAnsi="Times New Roman"/>
                <w:sz w:val="27"/>
                <w:szCs w:val="27"/>
                <w:color w:val="auto"/>
                <w:w w:val="94"/>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82,095</w:t>
            </w: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11/29/2021</w:t>
            </w:r>
          </w:p>
        </w:tc>
        <w:tc>
          <w:tcPr>
            <w:tcW w:w="116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08/23/2021</w:t>
            </w:r>
          </w:p>
        </w:tc>
      </w:tr>
    </w:tbl>
    <w:p>
      <w:pPr>
        <w:spacing w:after="0" w:line="69" w:lineRule="exact"/>
        <w:rPr>
          <w:sz w:val="20"/>
          <w:szCs w:val="20"/>
          <w:color w:val="auto"/>
        </w:rPr>
      </w:pPr>
    </w:p>
    <w:p>
      <w:pPr>
        <w:sectPr>
          <w:pgSz w:w="11900" w:h="16838" w:orient="portrait"/>
          <w:cols w:equalWidth="0" w:num="2">
            <w:col w:w="3700" w:space="420"/>
            <w:col w:w="7120"/>
          </w:cols>
          <w:pgMar w:left="320" w:top="2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(1)Vessels were disposed in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(2)Vessels were disposed in 2021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(3)Vessels were acquired in 2021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(4)Vessel was acquired in 2022</w:t>
      </w:r>
    </w:p>
    <w:p>
      <w:pPr>
        <w:spacing w:after="0" w:line="289" w:lineRule="exact"/>
        <w:rPr>
          <w:sz w:val="20"/>
          <w:szCs w:val="20"/>
          <w:color w:val="auto"/>
        </w:rPr>
      </w:pPr>
    </w:p>
    <w:p>
      <w:pPr>
        <w:jc w:val="right"/>
        <w:ind w:right="40"/>
        <w:spacing w:after="0"/>
        <w:tabs>
          <w:tab w:leader="none" w:pos="1160" w:val="left"/>
        </w:tabs>
        <w:rPr>
          <w:sz w:val="20"/>
          <w:szCs w:val="20"/>
          <w:color w:val="auto"/>
        </w:rPr>
      </w:pPr>
      <w:r>
        <w:rPr>
          <w:rFonts w:ascii="Times New Roman" w:cs="Times New Roman" w:eastAsia="Times New Roman" w:hAnsi="Times New Roman"/>
          <w:sz w:val="17"/>
          <w:szCs w:val="17"/>
          <w:color w:val="auto"/>
        </w:rPr>
        <w:t>F- 7</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05" w:lineRule="exact"/>
        <w:rPr>
          <w:sz w:val="20"/>
          <w:szCs w:val="20"/>
          <w:color w:val="auto"/>
        </w:rPr>
      </w:pPr>
    </w:p>
    <w:p>
      <w:pPr>
        <w:jc w:val="both"/>
        <w:spacing w:after="0" w:line="261" w:lineRule="auto"/>
        <w:tabs>
          <w:tab w:leader="none" w:pos="236" w:val="left"/>
        </w:tabs>
        <w:numPr>
          <w:ilvl w:val="0"/>
          <w:numId w:val="1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Principles of Consolidation: </w:t>
      </w:r>
      <w:r>
        <w:rPr>
          <w:rFonts w:ascii="Times New Roman" w:cs="Times New Roman" w:eastAsia="Times New Roman" w:hAnsi="Times New Roman"/>
          <w:sz w:val="17"/>
          <w:szCs w:val="17"/>
          <w:color w:val="auto"/>
        </w:rPr>
        <w:t>The consolidated financial statements have been prepared in accordance with accounting principles generally accepted in the United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States of America (“U.S. GAAP”) and include the accounts of the legal entities comprising the Partnership as discussed in Note 1. Intra-group balances and transactions have been eliminated upon consolidation.</w:t>
      </w:r>
    </w:p>
    <w:p>
      <w:pPr>
        <w:spacing w:after="0" w:line="163" w:lineRule="exact"/>
        <w:rPr>
          <w:rFonts w:ascii="Times New Roman" w:cs="Times New Roman" w:eastAsia="Times New Roman" w:hAnsi="Times New Roman"/>
          <w:sz w:val="17"/>
          <w:szCs w:val="17"/>
          <w:b w:val="1"/>
          <w:bCs w:val="1"/>
          <w:i w:val="1"/>
          <w:iCs w:val="1"/>
          <w:color w:val="auto"/>
        </w:rPr>
      </w:pPr>
    </w:p>
    <w:p>
      <w:pPr>
        <w:jc w:val="both"/>
        <w:spacing w:after="0" w:line="261" w:lineRule="auto"/>
        <w:tabs>
          <w:tab w:leader="none" w:pos="249" w:val="left"/>
        </w:tabs>
        <w:numPr>
          <w:ilvl w:val="0"/>
          <w:numId w:val="1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163" w:lineRule="exact"/>
        <w:rPr>
          <w:rFonts w:ascii="Times New Roman" w:cs="Times New Roman" w:eastAsia="Times New Roman" w:hAnsi="Times New Roman"/>
          <w:sz w:val="17"/>
          <w:szCs w:val="17"/>
          <w:b w:val="1"/>
          <w:bCs w:val="1"/>
          <w:i w:val="1"/>
          <w:iCs w:val="1"/>
          <w:color w:val="auto"/>
        </w:rPr>
      </w:pPr>
    </w:p>
    <w:p>
      <w:pPr>
        <w:ind w:left="220" w:hanging="220"/>
        <w:spacing w:after="0"/>
        <w:tabs>
          <w:tab w:leader="none" w:pos="220" w:val="left"/>
        </w:tabs>
        <w:numPr>
          <w:ilvl w:val="0"/>
          <w:numId w:val="1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Accounting for Revenue, Voyage Expenses and Operating Expenses: </w:t>
      </w:r>
      <w:r>
        <w:rPr>
          <w:rFonts w:ascii="Times New Roman" w:cs="Times New Roman" w:eastAsia="Times New Roman" w:hAnsi="Times New Roman"/>
          <w:sz w:val="17"/>
          <w:szCs w:val="17"/>
          <w:color w:val="auto"/>
        </w:rPr>
        <w:t>Revenue is generated from time or voyage charter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charters contracts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time charter is a contract for the use of a vessel for a specific period of time and a specified daily charter hire rate, which is generally payable in advance. A time charter generally provides typical warranties and owner protective restrictions. A time charter begins when the vessel is delivered to the charterer and ends when the vessel is redelivered back to its owner. The time charter contracts are considered operating leases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charters are recognized ratably on a straight-line basis over the period of the respective charter. Under time charter agreements, all voyage expenses, except commissions are assumed by the charterer. Operating costs incurred for running the vessel such as crew costs, vessel insurance, repairs and maintenance and lubricants are paid by the Partnership under time charter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Voyage charters contracts</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voyage charter is a contract in which the vessel owner undertakes to transport a specific amount and type of cargo on a load port-to-discharge port basis, subject to various cargo handling terms. The Partnership accounts for a voyage charter when all the following criteria are met: (1) the parties to the contract have approved the contract in the form of a written charter agreement and are committed to perform their respective obligations, (2) the Partnership can identify each party’s rights regarding the services to be transferred, (3) the Partnership can identify the payment terms for the services to be transferred, (4) the charter agreement has commercial substance (that is, the risk, timing, or amount of the Partnership’s future cash flows is expected to change as a result of the contract) and (5) it is probable that the Partnership will collect substantially all of the consideration to which it will be entitled in exchange for the services that will be transferred to the charterer. The Partnership determined that its voyage charters consist of a single performance obligation which is met evenly as the voyage progresses and begins to be satisfied once the vessel is ready to load the cargo. The voyage charter party agreement generally has a demurrage/dispatch clause according to which in the case of demurrage, the charterer reimburses the vessel owner for any potential delays exceeding the allowed lay time as per the charter party clause at the ports visited which is recorded as demurrage revenue. In the case of dispatch, the owner reimburses the charterer for the earlier discharging of the cargo from the agreed time. Demurrage/despatch revenues are recognized starting from the point that is determined that the amount can be estimated, and its collection/payment is probable and on a straight-line basis until the end of the voyage. Revenues from voyage charters are recognized on a straight-line basis over the voyage duration which commences once the vessel is ready to load the cargo and terminates upon the completion of the discharge of the cargo. Under Accounting Standards Codification (“ASC”) 606, receivables represent an entity’s unconditional right to consideration, whether billed or unbilled.</w:t>
      </w:r>
    </w:p>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voyage charters, vessel operating expenses and voyage expenses are paid for by the Partnership. The voyage charters are considered service contracts which fall under the provisions of ASC 606, because the Partnership retains control over the operations of the vessels, such as the routes taken or the vessels’ speed.</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Payment terms under voyage charters are disclosed in the relevant voyage charter agreements and generally have standard payment terms of 90% to 95% of the freight which is paid within three days after the completion of the vessel’s loading.</w:t>
      </w:r>
    </w:p>
    <w:p>
      <w:pPr>
        <w:spacing w:after="0" w:line="258"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F- 8</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Accounting for Revenue, Voyage Expenses and Operating Expenses - Continued:</w:t>
      </w:r>
    </w:p>
    <w:p>
      <w:pPr>
        <w:spacing w:after="0" w:line="200" w:lineRule="exact"/>
        <w:rPr>
          <w:sz w:val="20"/>
          <w:szCs w:val="20"/>
          <w:color w:val="auto"/>
        </w:rPr>
      </w:pPr>
    </w:p>
    <w:p>
      <w:pPr>
        <w:spacing w:after="0" w:line="3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Partnership satisfies the performance obligations under the contract provided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3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Vessel operating expenses presented in the consolidated financial statements mainly consist of crew, repairs and maintenance, insurance, stores, spares, lubricants, other operating expenses and management fees payable to the Partnership’s managers.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Vessel operating expenses are expensed as incurred.</w:t>
      </w:r>
    </w:p>
    <w:p>
      <w:pPr>
        <w:spacing w:after="0" w:line="377" w:lineRule="exact"/>
        <w:rPr>
          <w:sz w:val="20"/>
          <w:szCs w:val="20"/>
          <w:color w:val="auto"/>
        </w:rPr>
      </w:pPr>
    </w:p>
    <w:p>
      <w:pPr>
        <w:jc w:val="both"/>
        <w:spacing w:after="0" w:line="273" w:lineRule="auto"/>
        <w:tabs>
          <w:tab w:leader="none" w:pos="236" w:val="left"/>
        </w:tabs>
        <w:numPr>
          <w:ilvl w:val="0"/>
          <w:numId w:val="1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Foreign Currency Transactions: </w:t>
      </w:r>
      <w:r>
        <w:rPr>
          <w:rFonts w:ascii="Times New Roman" w:cs="Times New Roman" w:eastAsia="Times New Roman" w:hAnsi="Times New Roman"/>
          <w:sz w:val="16"/>
          <w:szCs w:val="16"/>
          <w:color w:val="auto"/>
        </w:rPr>
        <w:t>The functional currency of the Partnership is the U.S. Dollar because the Partnership’s vessels operate in international shipping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 (expense)” in the consolidated statements of comprehensive income.</w:t>
      </w:r>
    </w:p>
    <w:p>
      <w:pPr>
        <w:spacing w:after="0" w:line="155" w:lineRule="exact"/>
        <w:rPr>
          <w:rFonts w:ascii="Times New Roman" w:cs="Times New Roman" w:eastAsia="Times New Roman" w:hAnsi="Times New Roman"/>
          <w:sz w:val="16"/>
          <w:szCs w:val="16"/>
          <w:b w:val="1"/>
          <w:bCs w:val="1"/>
          <w:i w:val="1"/>
          <w:iCs w:val="1"/>
          <w:color w:val="auto"/>
        </w:rPr>
      </w:pPr>
    </w:p>
    <w:p>
      <w:pPr>
        <w:spacing w:after="0" w:line="277" w:lineRule="auto"/>
        <w:tabs>
          <w:tab w:leader="none" w:pos="227"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Cash and Cash Equivalents: </w:t>
      </w:r>
      <w:r>
        <w:rPr>
          <w:rFonts w:ascii="Times New Roman" w:cs="Times New Roman" w:eastAsia="Times New Roman" w:hAnsi="Times New Roman"/>
          <w:sz w:val="17"/>
          <w:szCs w:val="17"/>
          <w:color w:val="auto"/>
        </w:rPr>
        <w:t>The Partnership considers highly liquid investments such as time deposits and certificates of deposit with an original maturity of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or less to be cash equivalents.</w:t>
      </w:r>
    </w:p>
    <w:p>
      <w:pPr>
        <w:spacing w:after="0" w:line="149" w:lineRule="exact"/>
        <w:rPr>
          <w:rFonts w:ascii="Times New Roman" w:cs="Times New Roman" w:eastAsia="Times New Roman" w:hAnsi="Times New Roman"/>
          <w:sz w:val="17"/>
          <w:szCs w:val="17"/>
          <w:b w:val="1"/>
          <w:bCs w:val="1"/>
          <w:i w:val="1"/>
          <w:iCs w:val="1"/>
          <w:color w:val="auto"/>
        </w:rPr>
      </w:pPr>
    </w:p>
    <w:p>
      <w:pPr>
        <w:spacing w:after="0" w:line="277" w:lineRule="auto"/>
        <w:tabs>
          <w:tab w:leader="none" w:pos="208"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For the Partnership to comply with debt covenants under its credit facilities and financing arrangements, it must maintain minimum cash deposits.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deposits are considered by the Partnership to be restricted cash.</w:t>
      </w:r>
    </w:p>
    <w:p>
      <w:pPr>
        <w:spacing w:after="0" w:line="149" w:lineRule="exact"/>
        <w:rPr>
          <w:rFonts w:ascii="Times New Roman" w:cs="Times New Roman" w:eastAsia="Times New Roman" w:hAnsi="Times New Roman"/>
          <w:sz w:val="17"/>
          <w:szCs w:val="17"/>
          <w:b w:val="1"/>
          <w:bCs w:val="1"/>
          <w:i w:val="1"/>
          <w:iCs w:val="1"/>
          <w:color w:val="auto"/>
        </w:rPr>
      </w:pPr>
    </w:p>
    <w:p>
      <w:pPr>
        <w:jc w:val="both"/>
        <w:spacing w:after="0" w:line="261" w:lineRule="auto"/>
        <w:tabs>
          <w:tab w:leader="none" w:pos="236"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Trade Accounts Receivable, net: </w:t>
      </w:r>
      <w:r>
        <w:rPr>
          <w:rFonts w:ascii="Times New Roman" w:cs="Times New Roman" w:eastAsia="Times New Roman" w:hAnsi="Times New Roman"/>
          <w:sz w:val="17"/>
          <w:szCs w:val="17"/>
          <w:color w:val="auto"/>
        </w:rPr>
        <w:t>The amount shown as trade accounts receivable, net primarily consists of earned revenue that has not been billed yet or that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billed but has not yet been collected. At each balance sheet date all potentially uncollectible accounts are assessed individually for purposes of determining the appropriate write off. For the year ended December 31, 2022, and 2021 the respective write off amounted to $920 and $113, respectively.</w:t>
      </w:r>
    </w:p>
    <w:p>
      <w:pPr>
        <w:spacing w:after="0" w:line="163" w:lineRule="exact"/>
        <w:rPr>
          <w:rFonts w:ascii="Times New Roman" w:cs="Times New Roman" w:eastAsia="Times New Roman" w:hAnsi="Times New Roman"/>
          <w:sz w:val="17"/>
          <w:szCs w:val="17"/>
          <w:b w:val="1"/>
          <w:bCs w:val="1"/>
          <w:i w:val="1"/>
          <w:iCs w:val="1"/>
          <w:color w:val="auto"/>
        </w:rPr>
      </w:pPr>
    </w:p>
    <w:p>
      <w:pPr>
        <w:spacing w:after="0" w:line="277" w:lineRule="auto"/>
        <w:tabs>
          <w:tab w:leader="none" w:pos="246"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Inventories: </w:t>
      </w:r>
      <w:r>
        <w:rPr>
          <w:rFonts w:ascii="Times New Roman" w:cs="Times New Roman" w:eastAsia="Times New Roman" w:hAnsi="Times New Roman"/>
          <w:sz w:val="17"/>
          <w:szCs w:val="17"/>
          <w:color w:val="auto"/>
        </w:rPr>
        <w:t>Inventories consist of consumable bunkers, lubricants, spares and stores and are stated at the lower of cost and net realizable value. Net realizable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the estimated selling prices less reasonably predictable costs of disposal and transportation. The cost is determined by the first-in, first-out method.</w:t>
      </w:r>
    </w:p>
    <w:p>
      <w:pPr>
        <w:spacing w:after="0" w:line="149" w:lineRule="exact"/>
        <w:rPr>
          <w:rFonts w:ascii="Times New Roman" w:cs="Times New Roman" w:eastAsia="Times New Roman" w:hAnsi="Times New Roman"/>
          <w:sz w:val="17"/>
          <w:szCs w:val="17"/>
          <w:b w:val="1"/>
          <w:bCs w:val="1"/>
          <w:i w:val="1"/>
          <w:iCs w:val="1"/>
          <w:color w:val="auto"/>
        </w:rPr>
      </w:pPr>
    </w:p>
    <w:p>
      <w:pPr>
        <w:ind w:left="200" w:hanging="200"/>
        <w:spacing w:after="0"/>
        <w:tabs>
          <w:tab w:leader="none" w:pos="200"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Vessels Held for Sale: </w:t>
      </w:r>
      <w:r>
        <w:rPr>
          <w:rFonts w:ascii="Times New Roman" w:cs="Times New Roman" w:eastAsia="Times New Roman" w:hAnsi="Times New Roman"/>
          <w:sz w:val="17"/>
          <w:szCs w:val="17"/>
          <w:color w:val="auto"/>
        </w:rPr>
        <w:t>The Partnership classifies vessels as being held for sale when the following criteria are met: (i) management is committed to sell the asset;</w:t>
      </w:r>
    </w:p>
    <w:p>
      <w:pPr>
        <w:spacing w:after="0" w:line="25" w:lineRule="exact"/>
        <w:rPr>
          <w:rFonts w:ascii="Times New Roman" w:cs="Times New Roman" w:eastAsia="Times New Roman" w:hAnsi="Times New Roman"/>
          <w:sz w:val="17"/>
          <w:szCs w:val="17"/>
          <w:b w:val="1"/>
          <w:bCs w:val="1"/>
          <w:i w:val="1"/>
          <w:iCs w:val="1"/>
          <w:color w:val="auto"/>
        </w:rPr>
      </w:pPr>
    </w:p>
    <w:p>
      <w:pPr>
        <w:jc w:val="both"/>
        <w:spacing w:after="0" w:line="248" w:lineRule="auto"/>
        <w:tabs>
          <w:tab w:leader="none" w:pos="252"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available for 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Vessels classified as held for sale are measured at the lower of their carrying amount or fair value less costs to sell. These vessels are not depreciated once they meet the criteria to be classified as held for sale.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269" w:lineRule="exact"/>
        <w:rPr>
          <w:sz w:val="20"/>
          <w:szCs w:val="20"/>
          <w:color w:val="auto"/>
        </w:rPr>
      </w:pPr>
    </w:p>
    <w:p>
      <w:pPr>
        <w:ind w:left="5500"/>
        <w:spacing w:after="0"/>
        <w:tabs>
          <w:tab w:leader="none" w:pos="10000" w:val="left"/>
        </w:tabs>
        <w:rPr>
          <w:sz w:val="20"/>
          <w:szCs w:val="20"/>
          <w:color w:val="auto"/>
        </w:rPr>
      </w:pPr>
      <w:r>
        <w:rPr>
          <w:rFonts w:ascii="Times New Roman" w:cs="Times New Roman" w:eastAsia="Times New Roman" w:hAnsi="Times New Roman"/>
          <w:sz w:val="17"/>
          <w:szCs w:val="17"/>
          <w:color w:val="auto"/>
        </w:rPr>
        <w:t>F- 9</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5" w:lineRule="exact"/>
        <w:rPr>
          <w:sz w:val="20"/>
          <w:szCs w:val="20"/>
          <w:color w:val="auto"/>
        </w:rPr>
      </w:pPr>
    </w:p>
    <w:p>
      <w:pPr>
        <w:jc w:val="both"/>
        <w:spacing w:after="0" w:line="250" w:lineRule="auto"/>
        <w:tabs>
          <w:tab w:leader="none" w:pos="199" w:val="left"/>
        </w:tabs>
        <w:numPr>
          <w:ilvl w:val="0"/>
          <w:numId w:val="1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Fixed Assets: </w:t>
      </w:r>
      <w:r>
        <w:rPr>
          <w:rFonts w:ascii="Times New Roman" w:cs="Times New Roman" w:eastAsia="Times New Roman" w:hAnsi="Times New Roman"/>
          <w:sz w:val="17"/>
          <w:szCs w:val="17"/>
          <w:color w:val="auto"/>
        </w:rPr>
        <w:t>Fixed assets consist of vessels, which are stated at cost, less accumulated depreciation. Vessel cost consists of the contract price for the vessel,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material expenses incurred during its construction (improvements and delivery expenses, on-site supervision costs incurred during the construction periods, as well as capitalized interest expense during the construction period). Certain subsequent expenditures for major improvements and regulatory requirements are also capitalized if it is determined that they appreciably extend the life, increase the earning capacity or improve the efficiency or safety of the vessels. Vessels acquired through acquisition of businesses are recorded at their acquisition date fair values. Vessels acquired through asset acquisitions are recorded at cost.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 for the container carrier and bulk carrier vessels and 35 years for the LNG/C vessels.</w:t>
      </w:r>
    </w:p>
    <w:p>
      <w:pPr>
        <w:spacing w:after="0" w:line="174" w:lineRule="exact"/>
        <w:rPr>
          <w:rFonts w:ascii="Times New Roman" w:cs="Times New Roman" w:eastAsia="Times New Roman" w:hAnsi="Times New Roman"/>
          <w:sz w:val="17"/>
          <w:szCs w:val="17"/>
          <w:b w:val="1"/>
          <w:bCs w:val="1"/>
          <w:i w:val="1"/>
          <w:iCs w:val="1"/>
          <w:color w:val="auto"/>
        </w:rPr>
      </w:pPr>
    </w:p>
    <w:p>
      <w:pPr>
        <w:jc w:val="both"/>
        <w:spacing w:after="0" w:line="253" w:lineRule="auto"/>
        <w:tabs>
          <w:tab w:leader="none" w:pos="236" w:val="left"/>
        </w:tabs>
        <w:numPr>
          <w:ilvl w:val="0"/>
          <w:numId w:val="1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Impairment of Vessels: </w:t>
      </w:r>
      <w:r>
        <w:rPr>
          <w:rFonts w:ascii="Times New Roman" w:cs="Times New Roman" w:eastAsia="Times New Roman" w:hAnsi="Times New Roman"/>
          <w:sz w:val="17"/>
          <w:szCs w:val="17"/>
          <w:color w:val="auto"/>
        </w:rPr>
        <w:t>An impairment loss on vessels is recognized when indicators of impairment are present and the carrying amount of the vessel is greater than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fair value and is determined not to be recoverable. In determining future benefits derived from use of the vessels, the Partnership performs an analysis of the anticipated undiscounted future net cash flows of the related vessel.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Partnership has performed an undiscounted cash flow test as of December 31, 2022, and 2021, determining undiscounted projected net operating cash flows for each vessel for which an indication for impairment was present and compared them to the carrying amount of the vessels, and any related intangible assets and liabilities. In developing estimates of future cash flows, the Partnership made assumptions about future charter rates, utilization rates, vessel operating expenses, future dry-docking costs, the estimated remaining useful life of the vessels and their estimated residual value.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2022 and 2021.</w:t>
      </w:r>
    </w:p>
    <w:p>
      <w:pPr>
        <w:spacing w:after="0" w:line="174" w:lineRule="exact"/>
        <w:rPr>
          <w:sz w:val="20"/>
          <w:szCs w:val="20"/>
          <w:color w:val="auto"/>
        </w:rPr>
      </w:pPr>
    </w:p>
    <w:p>
      <w:pPr>
        <w:jc w:val="both"/>
        <w:spacing w:after="0" w:line="256" w:lineRule="auto"/>
        <w:tabs>
          <w:tab w:leader="none" w:pos="212"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Deferred charges, net: </w:t>
      </w:r>
      <w:r>
        <w:rPr>
          <w:rFonts w:ascii="Times New Roman" w:cs="Times New Roman" w:eastAsia="Times New Roman" w:hAnsi="Times New Roman"/>
          <w:sz w:val="17"/>
          <w:szCs w:val="17"/>
          <w:color w:val="auto"/>
        </w:rPr>
        <w:t>Deferred charges, net are comprised mainly of dry-docking costs. The Partnership’s vessels are required to be dry-docked every thirty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sixty months for major repairs and maintenance that cannot be performed while the vessels are under operation. The Partnership has adopted the deferral method of accounting for dry-docking activities whereby costs incurred are deferred and amortized on a straight-line basis over the period until the next scheduled dry-docking activity.</w:t>
      </w:r>
    </w:p>
    <w:p>
      <w:pPr>
        <w:spacing w:after="0" w:line="167" w:lineRule="exact"/>
        <w:rPr>
          <w:rFonts w:ascii="Times New Roman" w:cs="Times New Roman" w:eastAsia="Times New Roman" w:hAnsi="Times New Roman"/>
          <w:sz w:val="17"/>
          <w:szCs w:val="17"/>
          <w:b w:val="1"/>
          <w:bCs w:val="1"/>
          <w:i w:val="1"/>
          <w:iCs w:val="1"/>
          <w:color w:val="auto"/>
        </w:rPr>
      </w:pPr>
    </w:p>
    <w:p>
      <w:pPr>
        <w:jc w:val="both"/>
        <w:spacing w:after="0" w:line="252" w:lineRule="auto"/>
        <w:tabs>
          <w:tab w:leader="none" w:pos="283"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Intangible assets: </w:t>
      </w:r>
      <w:r>
        <w:rPr>
          <w:rFonts w:ascii="Times New Roman" w:cs="Times New Roman" w:eastAsia="Times New Roman" w:hAnsi="Times New Roman"/>
          <w:sz w:val="17"/>
          <w:szCs w:val="17"/>
          <w:color w:val="auto"/>
        </w:rPr>
        <w:t>The Partnership records all identified tangible and intangible assets, or any liabilities associated with the acquisition of a business or an asset,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fair value. When a vessel or a business that owns a vessel is acquired with an existing charter agreement, the Partnership considers whether any value should be assigned to the attached charter agreement acquired. The value to be assigned to the charter agreement is based on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straight-line method as a reduction or increase, respectively, to revenues over the remaining term of the charters (Note 6).</w:t>
      </w:r>
    </w:p>
    <w:p>
      <w:pPr>
        <w:spacing w:after="0" w:line="171" w:lineRule="exact"/>
        <w:rPr>
          <w:rFonts w:ascii="Times New Roman" w:cs="Times New Roman" w:eastAsia="Times New Roman" w:hAnsi="Times New Roman"/>
          <w:sz w:val="17"/>
          <w:szCs w:val="17"/>
          <w:b w:val="1"/>
          <w:bCs w:val="1"/>
          <w:i w:val="1"/>
          <w:iCs w:val="1"/>
          <w:color w:val="auto"/>
        </w:rPr>
      </w:pPr>
    </w:p>
    <w:p>
      <w:pPr>
        <w:jc w:val="both"/>
        <w:spacing w:after="0" w:line="256" w:lineRule="auto"/>
        <w:tabs>
          <w:tab w:leader="none" w:pos="246"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Net Income Per Limited Partner Unit: </w:t>
      </w:r>
      <w:r>
        <w:rPr>
          <w:rFonts w:ascii="Times New Roman" w:cs="Times New Roman" w:eastAsia="Times New Roman" w:hAnsi="Times New Roman"/>
          <w:sz w:val="17"/>
          <w:szCs w:val="17"/>
          <w:color w:val="auto"/>
        </w:rPr>
        <w:t>Basic net income per limited partner unit is calculated by dividing the Partnership’s net income less net income allocable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unit holders, (if any), general partner’s interest in net income (including incentive distribution rights (“IDR”))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167" w:lineRule="exact"/>
        <w:rPr>
          <w:rFonts w:ascii="Times New Roman" w:cs="Times New Roman" w:eastAsia="Times New Roman" w:hAnsi="Times New Roman"/>
          <w:sz w:val="17"/>
          <w:szCs w:val="17"/>
          <w:b w:val="1"/>
          <w:bCs w:val="1"/>
          <w:i w:val="1"/>
          <w:iCs w:val="1"/>
          <w:color w:val="auto"/>
        </w:rPr>
      </w:pPr>
    </w:p>
    <w:p>
      <w:pPr>
        <w:jc w:val="both"/>
        <w:spacing w:after="0" w:line="251" w:lineRule="auto"/>
        <w:tabs>
          <w:tab w:leader="none" w:pos="236"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Segment Reporting: </w:t>
      </w:r>
      <w:r>
        <w:rPr>
          <w:rFonts w:ascii="Times New Roman" w:cs="Times New Roman" w:eastAsia="Times New Roman" w:hAnsi="Times New Roman"/>
          <w:sz w:val="17"/>
          <w:szCs w:val="17"/>
          <w:color w:val="auto"/>
        </w:rPr>
        <w:t>The Partnership reports financial information and evaluates its operations by charter revenues and not by the length, type of vessel or type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ship employment for its customers, i.e. time or voyage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276"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F- 10</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5" w:lineRule="exact"/>
        <w:rPr>
          <w:sz w:val="20"/>
          <w:szCs w:val="20"/>
          <w:color w:val="auto"/>
        </w:rPr>
      </w:pPr>
    </w:p>
    <w:p>
      <w:pPr>
        <w:jc w:val="both"/>
        <w:spacing w:after="0" w:line="253" w:lineRule="auto"/>
        <w:tabs>
          <w:tab w:leader="none" w:pos="236" w:val="left"/>
        </w:tabs>
        <w:numPr>
          <w:ilvl w:val="0"/>
          <w:numId w:val="1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Omnibus Incentive Compensation Plan: </w:t>
      </w:r>
      <w:r>
        <w:rPr>
          <w:rFonts w:ascii="Times New Roman" w:cs="Times New Roman" w:eastAsia="Times New Roman" w:hAnsi="Times New Roman"/>
          <w:sz w:val="17"/>
          <w:szCs w:val="17"/>
          <w:color w:val="auto"/>
        </w:rPr>
        <w:t>Equity compensation expense represents vested and unvested units granted to employees and to non-employee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their services as directors, as well as to non-employees and are included in general and administrative expenses in the consolidated statements of comprehensive income. These units are measured at their fair value equal to the market value of the Partnership’s common units on the grant date. The units that contain a time-based service vesting condition are considered unvested units on the grant date and the total fair value of such units is recognized on a straight-line basis over the requisite service period (Note 13).</w:t>
      </w:r>
    </w:p>
    <w:p>
      <w:pPr>
        <w:spacing w:after="0" w:line="172" w:lineRule="exact"/>
        <w:rPr>
          <w:rFonts w:ascii="Times New Roman" w:cs="Times New Roman" w:eastAsia="Times New Roman" w:hAnsi="Times New Roman"/>
          <w:sz w:val="17"/>
          <w:szCs w:val="17"/>
          <w:b w:val="1"/>
          <w:bCs w:val="1"/>
          <w:i w:val="1"/>
          <w:iCs w:val="1"/>
          <w:color w:val="auto"/>
        </w:rPr>
      </w:pPr>
    </w:p>
    <w:p>
      <w:pPr>
        <w:jc w:val="both"/>
        <w:spacing w:after="0" w:line="261" w:lineRule="auto"/>
        <w:tabs>
          <w:tab w:leader="none" w:pos="249" w:val="left"/>
        </w:tabs>
        <w:numPr>
          <w:ilvl w:val="0"/>
          <w:numId w:val="1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Treasury Units: </w:t>
      </w:r>
      <w:r>
        <w:rPr>
          <w:rFonts w:ascii="Times New Roman" w:cs="Times New Roman" w:eastAsia="Times New Roman" w:hAnsi="Times New Roman"/>
          <w:sz w:val="17"/>
          <w:szCs w:val="17"/>
          <w:color w:val="auto"/>
        </w:rPr>
        <w:t>The Partnership records the repurchase of its common units at cost based on the settlement dates of repurchase transactions. These units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classified as treasury units, which is a reduction to partners’ capital. Treasury units are included in authorized and issued units but excluded from outstanding units (Note 12).</w:t>
      </w:r>
    </w:p>
    <w:p>
      <w:pPr>
        <w:spacing w:after="0" w:line="163" w:lineRule="exact"/>
        <w:rPr>
          <w:rFonts w:ascii="Times New Roman" w:cs="Times New Roman" w:eastAsia="Times New Roman" w:hAnsi="Times New Roman"/>
          <w:sz w:val="17"/>
          <w:szCs w:val="17"/>
          <w:b w:val="1"/>
          <w:bCs w:val="1"/>
          <w:i w:val="1"/>
          <w:iCs w:val="1"/>
          <w:color w:val="auto"/>
        </w:rPr>
      </w:pPr>
    </w:p>
    <w:p>
      <w:pPr>
        <w:jc w:val="both"/>
        <w:spacing w:after="0" w:line="256" w:lineRule="auto"/>
        <w:tabs>
          <w:tab w:leader="none" w:pos="230" w:val="left"/>
        </w:tabs>
        <w:numPr>
          <w:ilvl w:val="0"/>
          <w:numId w:val="1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Fair value of financial instruments: </w:t>
      </w:r>
      <w:r>
        <w:rPr>
          <w:rFonts w:ascii="Times New Roman" w:cs="Times New Roman" w:eastAsia="Times New Roman" w:hAnsi="Times New Roman"/>
          <w:sz w:val="17"/>
          <w:szCs w:val="17"/>
          <w:color w:val="auto"/>
        </w:rPr>
        <w:t>The Partnership follows the accounting guidance for financial instruments that establishes a framework for measuring fair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Level 1: Inputs are quoted prices (unadjusted) in active markets for identical assets or liabilities that the reporting entity has the ability to access at the measurement date;</w:t>
      </w:r>
    </w:p>
    <w:p>
      <w:pPr>
        <w:spacing w:after="0"/>
        <w:rPr>
          <w:sz w:val="20"/>
          <w:szCs w:val="20"/>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Inputs are unobservable inputs for the asset or liability.</w:t>
      </w:r>
    </w:p>
    <w:p>
      <w:pPr>
        <w:spacing w:after="0" w:line="185" w:lineRule="exact"/>
        <w:rPr>
          <w:sz w:val="20"/>
          <w:szCs w:val="20"/>
          <w:color w:val="auto"/>
        </w:rPr>
      </w:pPr>
    </w:p>
    <w:p>
      <w:pPr>
        <w:jc w:val="both"/>
        <w:spacing w:after="0" w:line="265" w:lineRule="auto"/>
        <w:tabs>
          <w:tab w:leader="none" w:pos="230" w:val="left"/>
        </w:tabs>
        <w:numPr>
          <w:ilvl w:val="0"/>
          <w:numId w:val="1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Derivative Instruments: </w:t>
      </w:r>
      <w:r>
        <w:rPr>
          <w:rFonts w:ascii="Times New Roman" w:cs="Times New Roman" w:eastAsia="Times New Roman" w:hAnsi="Times New Roman"/>
          <w:sz w:val="16"/>
          <w:szCs w:val="16"/>
          <w:color w:val="auto"/>
        </w:rPr>
        <w:t>The Partnership from time to time may enter into derivative instruments to hedge its exposure to foreign exchange or interest rate risks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arising from operational, financing and investment activities. Derivatives are initially measured at fair value; attributable transaction costs are expensed as incurred. The accounting for changes in the fair value of derivatives depends on the intended use of the derivative, whether the Partnership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foreign currency risk and interest rate risk, are considered fair value hedges. Derivatives designated and qualifying as a hedge of the exposure to variability in expected future cash flows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in a cash flow hedge. When the derivatives do qualify for hedge accounting, depending upon the nature of the hedge, changes in fair value of the derivatives are either offset against the fair value of assets, liabilities or firm commitments through income, or recognized in other comprehensive income (effective portion) until the hedged item is recognized in the consolidated statements of comprehensive income. The Company may enter into derivative contracts that are intended to economically hedge certain of its risk, even though hedge accounting does not apply, or the Company elects not to apply hedge accounting (Note 8).</w:t>
      </w:r>
    </w:p>
    <w:p>
      <w:pPr>
        <w:spacing w:after="0" w:line="272"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F- 11</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 Recent Accounting Pronouncements:</w:t>
      </w:r>
    </w:p>
    <w:p>
      <w:pPr>
        <w:spacing w:after="0" w:line="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Accounting Standards Update (“ASU”) No. 2022-06—Reference Rate Reform (Topic 848): Deferral of the Sunset Date of Topic 848. In 2020, the Board issued the ASU No. 2020-04, Reference Rate Reform (Topic 848): Facilitation of the effects of reference rate reform on financial reporting, which provides optional guidance to ease the potential burden in accounting for (or recognizing the effects of) reference rate reform on financial reporting. The objective of the guidance in Topic 848 is to provide temporary relief during the transition period. The Board included a sunset provision within Topic 848 based on expectations of when the London Interbank Offered Rate (LIBOR) would cease being published. At the time that Update 2020-04 was issued, the UK Financial Conduct Authority (FCA) had established its intent that it would no longer be necessary to persuade, or compel, banks to submit to LIBOR after December 31, 2021. As a result, the sunset provision was set for December 31, 2022, 12 months after the expected cessation date of all currencies and tenors of LIBOR. In March 2021, the FCA announced that the intended cessation date of the overnight 1, 3, 6, and 12-month tenors of USD LIBOR would be June 30, 2023, which is beyond the current sunset date of Topic 848. Because the current relief in Topic 848 may not cover a period of time during which a significant number of modifications may take place, the amendments in this Update defer the sunset date of Topic 848 from December 31, 2022, to December 31, 2024, after which entities will no longer be permitted to apply the relief in Topic 848. The amendments in this Update apply to all entities, subject to meeting certain criteria, that have contracts, hedging relationships, and other transactions that reference LIBOR or another reference rate expected to be discontinued because of reference rate reform. The amendments in this Update are effective for all entities upon issuance of this Update. The Partnership is currently evaluating the impact of this adoption in its consolidated financial statements and related disclosures.</w:t>
      </w:r>
    </w:p>
    <w:p>
      <w:pPr>
        <w:spacing w:after="0" w:line="268"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F- 12</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revenues earned from time and voyage charters contracts for the years ended December 31, 2022, 2021 and 2020:</w:t>
      </w:r>
    </w:p>
    <w:p>
      <w:pPr>
        <w:spacing w:after="0" w:line="21"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p>
      <w:pPr>
        <w:spacing w:after="0" w:line="5" w:lineRule="exact"/>
        <w:rPr>
          <w:sz w:val="20"/>
          <w:szCs w:val="20"/>
          <w:color w:val="auto"/>
        </w:rPr>
      </w:pPr>
    </w:p>
    <w:p>
      <w:pPr>
        <w:ind w:left="7820"/>
        <w:spacing w:after="0"/>
        <w:tabs>
          <w:tab w:leader="none" w:pos="9160" w:val="left"/>
          <w:tab w:leader="none" w:pos="1050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35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Time charters (operating leases)</w:t>
            </w:r>
          </w:p>
        </w:tc>
        <w:tc>
          <w:tcPr>
            <w:tcW w:w="380" w:type="dxa"/>
            <w:vAlign w:val="bottom"/>
            <w:tcBorders>
              <w:top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283,962</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171,134</w:t>
            </w:r>
          </w:p>
        </w:tc>
        <w:tc>
          <w:tcPr>
            <w:tcW w:w="120" w:type="dxa"/>
            <w:vAlign w:val="bottom"/>
          </w:tcPr>
          <w:p>
            <w:pPr>
              <w:spacing w:after="0"/>
              <w:rPr>
                <w:sz w:val="16"/>
                <w:szCs w:val="16"/>
                <w:color w:val="auto"/>
              </w:rPr>
            </w:pPr>
          </w:p>
        </w:tc>
        <w:tc>
          <w:tcPr>
            <w:tcW w:w="380" w:type="dxa"/>
            <w:vAlign w:val="bottom"/>
            <w:tcBorders>
              <w:top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137,893</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Voyage charters</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15,109</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13,531</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w:t>
            </w:r>
          </w:p>
        </w:tc>
      </w:tr>
      <w:tr>
        <w:trPr>
          <w:trHeight w:val="198"/>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380" w:type="dxa"/>
            <w:vAlign w:val="bottom"/>
            <w:tcBorders>
              <w:top w:val="single" w:sz="8" w:color="auto"/>
              <w:bottom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299,071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184,665</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140,865</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2022, 19 out of 20, of the Partnership’s vessels were employed under time charter agreements with remaining tenor ranging between 0.2 and 9.5 years, while one vessel was employed under a voyage charter. From these time charter agreements 13 include extensions at the charterers’ option that range between 2.3 to 9.2 years. As of December 31, 2021, 20 out of 21, of the Partnership’s vessels were employed under time charter agreements with remaining tenor ranging between 0.4 and 4.7 years, while one vessel was employed under a voyage charter.</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2022 there were no voyage expenses, incurred between the contract date and the date of the vessel’s arrival to the load port and no unearned revenue related to undelivered performance obligations. As of December 31, 2021 prepayments and other assets include bunker expenses of $168, incurred between the contract date and the date of the vessel’s arrival to the load port. As of December 31, 2021 the Partnership had unearned revenue related to undelivered performance obligations of $3,010 which was recognized in the Partnership’s records in the first quarter of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Transactions with Related Parties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CMTC is an international shipping company with a long history of operating and investing in the shipping market and our sponsor. As of December 31, 2022 and 2021, CMTC may be deemed to beneficially own a 23.1% and 20.0% of our common units respectively.</w:t>
      </w:r>
    </w:p>
    <w:p>
      <w:pPr>
        <w:spacing w:after="0" w:line="15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CGC is a privately held company controlled by Mr. Miltiadis Marinakis the son of Mr. Evangelos M. Marinakis who also controls our general partner Capital GP L.L.C. (“CGP”) and Capital Gas Corp. On March 30, 2022, CGC transferred all 1,153,846 common units held by it to Capital Gas Corp. As of December 31, 2022 Capital Gas Corp. may be deemed to beneficially own a 5.7% of our common units. As of December 31, 2021, CGC may have been deemed to beneficially own 5.9% of our common units.</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July 8, 2022, the Partnership fully repaid the amount of $10,000 in line with the CGC Seller’s Credits entered into in August 2021, in connection with the acquisition of the LNG/C Aristos I and the LNG/C Aristarchos from CGC (Note 7).</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6, 2022, the Partnership entered into a Master Vessel Acquisition Agreement (the “Master Agreement”) with CMTC for the acquisition of one 174,000 Cubic Meters (“CBM”) LNG/C vessel and three 13,312 Twenty-foot Equivalent Unit (“TEU”) container carrier vessels (Note 5). In October 2022, the Partnership acquired from CMTC the shares of the company owning one of the three 13,312 TEU container carrier vessels, which entered into a floating fee management agreement with Capital-Executive Ship Management Corp. (“Capital-Executive”), a privately held company ultimately controlled by Mr. Miltiadis Marinakis.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During the year ended December 31, 2021, the Partnership acquired from CGC the shares of the companies owning the LNG/C Aristos I, the LNG/C Aristarchos, the LNG/C Attalos, the LNG/C Asklipios, the LNG/C Adamastos and the LNG/C Aristidis I (Note 5). Each of these owning companies entered into a floating fee management agreement with Capital Gas Ship Management Corp. (“Capital-Gas”), a privately held company ultimately controlled by Mr. Miltiadis Marinakis. In connection with the acquisition of the shares of the companies owning the LNG/C Aristos I and the LNG/C Aristarchos, (Note 5) the Partnership entered into two separate Seller’s Credit Agreements with CGC (“CGC Seller’s Credits”) in order to defer $10,000 in total, of the purchase price (Note 7), assumed debt amounting to $304,355 (Note 7) and issued 1,153,846 common units to CGC (Note 12). In connection with the acquisition of the shares of the company owning the LNG/C Attalos, the LNG/C Asklipios, the LNG/C Adamastos and the LNG/C Aristidis I the Partnership assumed debt amounting to $561,989 (Note 7).</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2021, the Partnership also acquired from CMTC the shares of the companies owning the M/V Long Beach Express, the M/V Seattle Express and the M/V Fos Express (Note 5). Each of these three owning companies entered into a floating fee management agreement with Capital-Executive. In connection with the acquisition of these companies the Partnership entered into a Seller’s Credit Agreement with CMTC (“CMTC Seller’s Credit”) in order to defer $6,000 of the purchase price (Notes 5, 7).</w:t>
      </w:r>
    </w:p>
    <w:p>
      <w:pPr>
        <w:spacing w:after="0" w:line="275"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F- 13</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Transactions with Related Parties – Continued</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Further to the transactions described above with CGC and CMTC, the Partnership and its subsidiaries have related party transactions with Capital Ship Management Corp. (“CSM”), Capital-Executive and Capital-Gas (collectively the “Managers”) and the Partnership’s general partner, CGP arising from certain terms of the following management and administrative services agreements.</w:t>
      </w:r>
    </w:p>
    <w:p>
      <w:pPr>
        <w:spacing w:after="0" w:line="165" w:lineRule="exact"/>
        <w:rPr>
          <w:sz w:val="20"/>
          <w:szCs w:val="20"/>
          <w:color w:val="auto"/>
        </w:rPr>
      </w:pPr>
    </w:p>
    <w:p>
      <w:pPr>
        <w:jc w:val="both"/>
        <w:spacing w:after="0" w:line="252" w:lineRule="auto"/>
        <w:tabs>
          <w:tab w:leader="none" w:pos="173"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Floating fee management agreements: </w:t>
      </w:r>
      <w:r>
        <w:rPr>
          <w:rFonts w:ascii="Times New Roman" w:cs="Times New Roman" w:eastAsia="Times New Roman" w:hAnsi="Times New Roman"/>
          <w:sz w:val="17"/>
          <w:szCs w:val="17"/>
          <w:color w:val="auto"/>
        </w:rPr>
        <w:t>Under the terms of these agreements the Partnership compensates its Managers for expenses and liabilities incurred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Partnership’s behalf while providing the agreed services, including, but not limited to, crew, repairs and maintenance, insurance, stores, spares, lubricants and other operating costs. Costs and expenses associated with a managed vessel’s next scheduled dry-docking are borne by the Partnership and not by the Managers. The Partnership also pays its Managers a daily technical management fee per managed vessel that is revised annually based on the United States Consumer Price Index. For the years ended December 31, 2022, 2021 and 2020, management fees under the management agreements amounted to $9,172, $5,923 and $4,976, respectively, and are included in “Vessel operating expenses – related parties” in the consolidated statements of comprehensive income.</w:t>
      </w:r>
    </w:p>
    <w:p>
      <w:pPr>
        <w:spacing w:after="0" w:line="171" w:lineRule="exact"/>
        <w:rPr>
          <w:rFonts w:ascii="Times New Roman" w:cs="Times New Roman" w:eastAsia="Times New Roman" w:hAnsi="Times New Roman"/>
          <w:sz w:val="17"/>
          <w:szCs w:val="17"/>
          <w:b w:val="1"/>
          <w:bCs w:val="1"/>
          <w:color w:val="auto"/>
        </w:rPr>
      </w:pPr>
    </w:p>
    <w:p>
      <w:pPr>
        <w:jc w:val="both"/>
        <w:spacing w:after="0" w:line="268" w:lineRule="auto"/>
        <w:tabs>
          <w:tab w:leader="none" w:pos="167"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Administrative and service agreements: </w:t>
      </w:r>
      <w:r>
        <w:rPr>
          <w:rFonts w:ascii="Times New Roman" w:cs="Times New Roman" w:eastAsia="Times New Roman" w:hAnsi="Times New Roman"/>
          <w:sz w:val="16"/>
          <w:szCs w:val="16"/>
          <w:color w:val="auto"/>
        </w:rPr>
        <w:t>On April 4, 2007, the Partnership entered into an administrative services agreement with CSM, pursuant to which CSM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agreed to provide certain administrative management services to the Partnership such as accounting, auditing, legal, insurance, IT and clerical services. In addition, the Partnership reimburses CSM and CGP for reasonable costs and expenses incurred in connection with the provision of these services, after CSM submits to the Partnership an invoice for such costs and expenses together with any supporting detail that may be reasonably required. These expenses are included in “General and administrative expenses” in the consolidated statements of comprehensive income. In 2015, the Partnership entered into an executive services agreement with CGP, which was amended further in 2022, according to which CGP provides certain executive officers services for the management of the Partnership’s business as well as investor relations and corporate support services to the Partnership. For the years ended December 31, 2022, 2021 and 2020 such fees amounted to $2,050, $1,880 and $1,880, respectively and are included in “General and administrative expenses” in the consolidated statements of comprehensive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Balances and transactions with related parties consisted of the following:</w:t>
            </w: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00" w:type="dxa"/>
            <w:vAlign w:val="bottom"/>
          </w:tcPr>
          <w:p>
            <w:pPr>
              <w:spacing w:after="0"/>
              <w:rPr>
                <w:sz w:val="18"/>
                <w:szCs w:val="18"/>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Assets:</w:t>
            </w:r>
          </w:p>
        </w:tc>
        <w:tc>
          <w:tcPr>
            <w:tcW w:w="2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Capital-Executive – advances from the Partnership (a)</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51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Due from related party</w:t>
            </w:r>
          </w:p>
        </w:tc>
        <w:tc>
          <w:tcPr>
            <w:tcW w:w="2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3,636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Advances for vessels under construction – related party (b)</w:t>
            </w:r>
          </w:p>
        </w:tc>
        <w:tc>
          <w:tcPr>
            <w:tcW w:w="21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gridSpan w:val="2"/>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24,000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2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CSM – payments on behalf of the Partnership (c)</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payable to CSM (d)</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Capital-Executive – payments on behalf of the Partnership (c)</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payable to Capital-Executive (d)</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Capital-Gas – payments on behalf of the Partnership (c)</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payable to Capital-Gas (d)</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198"/>
        </w:trPr>
        <w:tc>
          <w:tcPr>
            <w:tcW w:w="51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Due to related parties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2,785</w:t>
            </w:r>
          </w:p>
        </w:tc>
        <w:tc>
          <w:tcPr>
            <w:tcW w:w="0" w:type="dxa"/>
            <w:vAlign w:val="bottom"/>
          </w:tcPr>
          <w:p>
            <w:pPr>
              <w:spacing w:after="0"/>
              <w:rPr>
                <w:sz w:val="1"/>
                <w:szCs w:val="1"/>
                <w:color w:val="auto"/>
              </w:rPr>
            </w:pPr>
          </w:p>
        </w:tc>
      </w:tr>
      <w:tr>
        <w:trPr>
          <w:trHeight w:val="401"/>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11"/>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0" w:type="dxa"/>
            <w:vAlign w:val="bottom"/>
          </w:tcPr>
          <w:p>
            <w:pPr>
              <w:spacing w:after="0"/>
              <w:rPr>
                <w:sz w:val="1"/>
                <w:szCs w:val="1"/>
                <w:color w:val="auto"/>
              </w:rPr>
            </w:pPr>
          </w:p>
        </w:tc>
      </w:tr>
      <w:tr>
        <w:trPr>
          <w:trHeight w:val="20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tc>
        <w:tc>
          <w:tcPr>
            <w:tcW w:w="2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Vessel operating expenses</w:t>
            </w:r>
          </w:p>
        </w:tc>
        <w:tc>
          <w:tcPr>
            <w:tcW w:w="2160" w:type="dxa"/>
            <w:vAlign w:val="bottom"/>
          </w:tcPr>
          <w:p>
            <w:pPr>
              <w:spacing w:after="0"/>
              <w:rPr>
                <w:sz w:val="16"/>
                <w:szCs w:val="16"/>
                <w:color w:val="auto"/>
              </w:rPr>
            </w:pPr>
          </w:p>
        </w:tc>
        <w:tc>
          <w:tcPr>
            <w:tcW w:w="300" w:type="dxa"/>
            <w:vAlign w:val="bottom"/>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9,172</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2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5,923</w:t>
            </w:r>
          </w:p>
        </w:tc>
        <w:tc>
          <w:tcPr>
            <w:tcW w:w="14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4,976</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 (e)</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2,244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463"/>
        </w:trPr>
        <w:tc>
          <w:tcPr>
            <w:tcW w:w="5160" w:type="dxa"/>
            <w:vAlign w:val="bottom"/>
          </w:tcPr>
          <w:p>
            <w:pPr>
              <w:spacing w:after="0"/>
              <w:rPr>
                <w:sz w:val="24"/>
                <w:szCs w:val="24"/>
                <w:color w:val="auto"/>
              </w:rPr>
            </w:pPr>
          </w:p>
        </w:tc>
        <w:tc>
          <w:tcPr>
            <w:tcW w:w="2460" w:type="dxa"/>
            <w:vAlign w:val="bottom"/>
            <w:gridSpan w:val="2"/>
          </w:tcPr>
          <w:p>
            <w:pPr>
              <w:jc w:val="right"/>
              <w:ind w:right="1737"/>
              <w:spacing w:after="0"/>
              <w:rPr>
                <w:sz w:val="20"/>
                <w:szCs w:val="20"/>
                <w:color w:val="auto"/>
              </w:rPr>
            </w:pPr>
            <w:r>
              <w:rPr>
                <w:rFonts w:ascii="Times New Roman" w:cs="Times New Roman" w:eastAsia="Times New Roman" w:hAnsi="Times New Roman"/>
                <w:sz w:val="17"/>
                <w:szCs w:val="17"/>
                <w:color w:val="auto"/>
              </w:rPr>
              <w:t>F- 14</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Transactions with Related Parties – Continued</w:t>
      </w:r>
    </w:p>
    <w:p>
      <w:pPr>
        <w:spacing w:after="0" w:line="381" w:lineRule="exact"/>
        <w:rPr>
          <w:sz w:val="20"/>
          <w:szCs w:val="20"/>
          <w:color w:val="auto"/>
        </w:rPr>
      </w:pPr>
    </w:p>
    <w:p>
      <w:pPr>
        <w:spacing w:after="0" w:line="277" w:lineRule="auto"/>
        <w:tabs>
          <w:tab w:leader="none" w:pos="247"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Managers - Advances from the Partnership: </w:t>
      </w:r>
      <w:r>
        <w:rPr>
          <w:rFonts w:ascii="Times New Roman" w:cs="Times New Roman" w:eastAsia="Times New Roman" w:hAnsi="Times New Roman"/>
          <w:sz w:val="17"/>
          <w:szCs w:val="17"/>
          <w:color w:val="auto"/>
        </w:rPr>
        <w:t>This line item represents the amount advanced from the Partnership for operating and voyage expenses that will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paid by the Managers on behalf of the Partnership and its subsidiaries.</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75" w:lineRule="exact"/>
        <w:rPr>
          <w:rFonts w:ascii="Times New Roman" w:cs="Times New Roman" w:eastAsia="Times New Roman" w:hAnsi="Times New Roman"/>
          <w:sz w:val="17"/>
          <w:szCs w:val="17"/>
          <w:b w:val="1"/>
          <w:bCs w:val="1"/>
          <w:i w:val="1"/>
          <w:iCs w:val="1"/>
          <w:color w:val="auto"/>
        </w:rPr>
      </w:pPr>
    </w:p>
    <w:p>
      <w:pPr>
        <w:ind w:left="240" w:hanging="240"/>
        <w:spacing w:after="0"/>
        <w:tabs>
          <w:tab w:leader="none" w:pos="240"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Advances for vessels under construction – related party: </w:t>
      </w:r>
      <w:r>
        <w:rPr>
          <w:rFonts w:ascii="Times New Roman" w:cs="Times New Roman" w:eastAsia="Times New Roman" w:hAnsi="Times New Roman"/>
          <w:sz w:val="17"/>
          <w:szCs w:val="17"/>
          <w:color w:val="auto"/>
        </w:rPr>
        <w:t>This line item includes advances paid by the Partnership to CMTC in respect of the Master Agreement.</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343" w:lineRule="exact"/>
        <w:rPr>
          <w:rFonts w:ascii="Times New Roman" w:cs="Times New Roman" w:eastAsia="Times New Roman" w:hAnsi="Times New Roman"/>
          <w:sz w:val="17"/>
          <w:szCs w:val="17"/>
          <w:b w:val="1"/>
          <w:bCs w:val="1"/>
          <w:i w:val="1"/>
          <w:iCs w:val="1"/>
          <w:color w:val="auto"/>
        </w:rPr>
      </w:pPr>
    </w:p>
    <w:p>
      <w:pPr>
        <w:spacing w:after="0" w:line="277" w:lineRule="auto"/>
        <w:tabs>
          <w:tab w:leader="none" w:pos="227"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Managers - Payments on Behalf of the Partnership: </w:t>
      </w:r>
      <w:r>
        <w:rPr>
          <w:rFonts w:ascii="Times New Roman" w:cs="Times New Roman" w:eastAsia="Times New Roman" w:hAnsi="Times New Roman"/>
          <w:sz w:val="17"/>
          <w:szCs w:val="17"/>
          <w:color w:val="auto"/>
        </w:rPr>
        <w:t>This line item represents the amount outstanding for payments for operating and voyage expenses made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Managers on behalf of the Partnership and its subsidiaries.</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88" w:lineRule="exact"/>
        <w:rPr>
          <w:rFonts w:ascii="Times New Roman" w:cs="Times New Roman" w:eastAsia="Times New Roman" w:hAnsi="Times New Roman"/>
          <w:sz w:val="17"/>
          <w:szCs w:val="17"/>
          <w:b w:val="1"/>
          <w:bCs w:val="1"/>
          <w:i w:val="1"/>
          <w:iCs w:val="1"/>
          <w:color w:val="auto"/>
        </w:rPr>
      </w:pPr>
    </w:p>
    <w:p>
      <w:pPr>
        <w:spacing w:after="0" w:line="277" w:lineRule="auto"/>
        <w:tabs>
          <w:tab w:leader="none" w:pos="239"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Management fee payable to Managers</w:t>
      </w:r>
      <w:r>
        <w:rPr>
          <w:rFonts w:ascii="Times New Roman" w:cs="Times New Roman" w:eastAsia="Times New Roman" w:hAnsi="Times New Roman"/>
          <w:sz w:val="17"/>
          <w:szCs w:val="17"/>
          <w:color w:val="auto"/>
        </w:rPr>
        <w:t>: The amount outstanding as of December 31, 2022 and 2021 represents the management fee payable to the Managers under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management agreements.</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75" w:lineRule="exact"/>
        <w:rPr>
          <w:rFonts w:ascii="Times New Roman" w:cs="Times New Roman" w:eastAsia="Times New Roman" w:hAnsi="Times New Roman"/>
          <w:sz w:val="17"/>
          <w:szCs w:val="17"/>
          <w:b w:val="1"/>
          <w:bCs w:val="1"/>
          <w:i w:val="1"/>
          <w:iCs w:val="1"/>
          <w:color w:val="auto"/>
        </w:rPr>
      </w:pPr>
    </w:p>
    <w:p>
      <w:pPr>
        <w:ind w:left="220" w:hanging="220"/>
        <w:spacing w:after="0"/>
        <w:tabs>
          <w:tab w:leader="none" w:pos="220"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This line item mainly includes fees relating to internal audit, investor relations and consultancy fees.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Vessels, net and advances for vessels under construction</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4"/>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an analysis of vessels, net:</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Vessel cost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Net book value</w:t>
            </w:r>
          </w:p>
        </w:tc>
        <w:tc>
          <w:tcPr>
            <w:tcW w:w="0" w:type="dxa"/>
            <w:vAlign w:val="bottom"/>
          </w:tcPr>
          <w:p>
            <w:pPr>
              <w:spacing w:after="0"/>
              <w:rPr>
                <w:sz w:val="1"/>
                <w:szCs w:val="1"/>
                <w:color w:val="auto"/>
              </w:rPr>
            </w:pPr>
          </w:p>
        </w:tc>
      </w:tr>
      <w:tr>
        <w:trPr>
          <w:trHeight w:val="121"/>
        </w:trPr>
        <w:tc>
          <w:tcPr>
            <w:tcW w:w="5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82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as at January 1, 2021</w:t>
            </w:r>
          </w:p>
        </w:tc>
        <w:tc>
          <w:tcPr>
            <w:tcW w:w="1500" w:type="dxa"/>
            <w:vAlign w:val="bottom"/>
            <w:tcBorders>
              <w:top w:val="single" w:sz="8" w:color="CCECFF"/>
            </w:tcBorders>
            <w:shd w:val="clear" w:color="auto" w:fill="CCECFF"/>
          </w:tcPr>
          <w:p>
            <w:pPr>
              <w:spacing w:after="0"/>
              <w:rPr>
                <w:sz w:val="16"/>
                <w:szCs w:val="16"/>
                <w:color w:val="auto"/>
              </w:rPr>
            </w:pPr>
          </w:p>
        </w:tc>
        <w:tc>
          <w:tcPr>
            <w:tcW w:w="280" w:type="dxa"/>
            <w:vAlign w:val="bottom"/>
            <w:tcBorders>
              <w:top w:val="single" w:sz="8" w:color="auto"/>
              <w:bottom w:val="single" w:sz="8" w:color="auto"/>
            </w:tcBorders>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923,020</w:t>
            </w:r>
          </w:p>
        </w:tc>
        <w:tc>
          <w:tcPr>
            <w:tcW w:w="60" w:type="dxa"/>
            <w:vAlign w:val="bottom"/>
            <w:tcBorders>
              <w:top w:val="single" w:sz="8" w:color="CCECFF"/>
            </w:tcBorders>
            <w:shd w:val="clear" w:color="auto" w:fill="CCECFF"/>
          </w:tcPr>
          <w:p>
            <w:pPr>
              <w:spacing w:after="0"/>
              <w:rPr>
                <w:sz w:val="16"/>
                <w:szCs w:val="16"/>
                <w:color w:val="auto"/>
              </w:rPr>
            </w:pPr>
          </w:p>
        </w:tc>
        <w:tc>
          <w:tcPr>
            <w:tcW w:w="4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bottom w:val="single" w:sz="8" w:color="auto"/>
            </w:tcBorders>
            <w:shd w:val="clear" w:color="auto" w:fill="CCECFF"/>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(210,823)</w:t>
            </w:r>
          </w:p>
        </w:tc>
        <w:tc>
          <w:tcPr>
            <w:tcW w:w="12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712,197</w:t>
            </w:r>
          </w:p>
        </w:tc>
        <w:tc>
          <w:tcPr>
            <w:tcW w:w="0" w:type="dxa"/>
            <w:vAlign w:val="bottom"/>
          </w:tcPr>
          <w:p>
            <w:pPr>
              <w:spacing w:after="0"/>
              <w:rPr>
                <w:sz w:val="1"/>
                <w:szCs w:val="1"/>
                <w:color w:val="auto"/>
              </w:rPr>
            </w:pPr>
          </w:p>
        </w:tc>
      </w:tr>
      <w:tr>
        <w:trPr>
          <w:trHeight w:val="193"/>
        </w:trPr>
        <w:tc>
          <w:tcPr>
            <w:tcW w:w="58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Vessel acquisitions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1,256,858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1,256,858</w:t>
            </w:r>
          </w:p>
        </w:tc>
        <w:tc>
          <w:tcPr>
            <w:tcW w:w="0" w:type="dxa"/>
            <w:vAlign w:val="bottom"/>
          </w:tcPr>
          <w:p>
            <w:pPr>
              <w:spacing w:after="0"/>
              <w:rPr>
                <w:sz w:val="1"/>
                <w:szCs w:val="1"/>
                <w:color w:val="auto"/>
              </w:rPr>
            </w:pPr>
          </w:p>
        </w:tc>
      </w:tr>
      <w:tr>
        <w:trPr>
          <w:trHeight w:val="200"/>
        </w:trPr>
        <w:tc>
          <w:tcPr>
            <w:tcW w:w="58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Vessel disposals</w:t>
            </w: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(180,358)</w:t>
            </w:r>
          </w:p>
        </w:tc>
        <w:tc>
          <w:tcPr>
            <w:tcW w:w="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36,123</w:t>
            </w:r>
          </w:p>
        </w:tc>
        <w:tc>
          <w:tcPr>
            <w:tcW w:w="12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(144,235)</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Improvements</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00"/>
        </w:trPr>
        <w:tc>
          <w:tcPr>
            <w:tcW w:w="58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Depreciation for the year</w:t>
            </w: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(43,336)</w:t>
            </w:r>
          </w:p>
        </w:tc>
        <w:tc>
          <w:tcPr>
            <w:tcW w:w="12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(43,336)</w:t>
            </w:r>
          </w:p>
        </w:tc>
        <w:tc>
          <w:tcPr>
            <w:tcW w:w="0" w:type="dxa"/>
            <w:vAlign w:val="bottom"/>
          </w:tcPr>
          <w:p>
            <w:pPr>
              <w:spacing w:after="0"/>
              <w:rPr>
                <w:sz w:val="1"/>
                <w:szCs w:val="1"/>
                <w:color w:val="auto"/>
              </w:rPr>
            </w:pPr>
          </w:p>
        </w:tc>
      </w:tr>
      <w:tr>
        <w:trPr>
          <w:trHeight w:val="193"/>
        </w:trPr>
        <w:tc>
          <w:tcPr>
            <w:tcW w:w="5820" w:type="dxa"/>
            <w:vAlign w:val="bottom"/>
            <w:tcBorders>
              <w:bottom w:val="single" w:sz="8" w:color="CCEC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as at December 31, 2021</w:t>
            </w:r>
          </w:p>
        </w:tc>
        <w:tc>
          <w:tcPr>
            <w:tcW w:w="1500" w:type="dxa"/>
            <w:vAlign w:val="bottom"/>
            <w:tcBorders>
              <w:bottom w:val="single" w:sz="8" w:color="CCEC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1,999,894</w:t>
            </w:r>
          </w:p>
        </w:tc>
        <w:tc>
          <w:tcPr>
            <w:tcW w:w="60" w:type="dxa"/>
            <w:vAlign w:val="bottom"/>
            <w:tcBorders>
              <w:bottom w:val="single" w:sz="8" w:color="CCECFF"/>
            </w:tcBorders>
          </w:tcPr>
          <w:p>
            <w:pPr>
              <w:spacing w:after="0"/>
              <w:rPr>
                <w:sz w:val="16"/>
                <w:szCs w:val="16"/>
                <w:color w:val="auto"/>
              </w:rPr>
            </w:pPr>
          </w:p>
        </w:tc>
        <w:tc>
          <w:tcPr>
            <w:tcW w:w="40" w:type="dxa"/>
            <w:vAlign w:val="bottom"/>
            <w:tcBorders>
              <w:bottom w:val="single" w:sz="8" w:color="CCEC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(218,036)</w:t>
            </w:r>
          </w:p>
        </w:tc>
        <w:tc>
          <w:tcPr>
            <w:tcW w:w="120" w:type="dxa"/>
            <w:vAlign w:val="bottom"/>
            <w:tcBorders>
              <w:bottom w:val="single" w:sz="8" w:color="CCEC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1,781,858</w:t>
            </w:r>
          </w:p>
        </w:tc>
        <w:tc>
          <w:tcPr>
            <w:tcW w:w="0" w:type="dxa"/>
            <w:vAlign w:val="bottom"/>
          </w:tcPr>
          <w:p>
            <w:pPr>
              <w:spacing w:after="0"/>
              <w:rPr>
                <w:sz w:val="1"/>
                <w:szCs w:val="1"/>
                <w:color w:val="auto"/>
              </w:rPr>
            </w:pPr>
          </w:p>
        </w:tc>
      </w:tr>
      <w:tr>
        <w:trPr>
          <w:trHeight w:val="193"/>
        </w:trPr>
        <w:tc>
          <w:tcPr>
            <w:tcW w:w="582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Vessel acquisitions</w:t>
            </w:r>
          </w:p>
        </w:tc>
        <w:tc>
          <w:tcPr>
            <w:tcW w:w="15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121,583</w:t>
            </w:r>
          </w:p>
        </w:tc>
        <w:tc>
          <w:tcPr>
            <w:tcW w:w="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121,583</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Advances for vessels under construction – related party (Note 4)</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24,000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w:t>
            </w:r>
          </w:p>
        </w:tc>
        <w:tc>
          <w:tcPr>
            <w:tcW w:w="0" w:type="dxa"/>
            <w:vAlign w:val="bottom"/>
          </w:tcPr>
          <w:p>
            <w:pPr>
              <w:spacing w:after="0"/>
              <w:rPr>
                <w:sz w:val="1"/>
                <w:szCs w:val="1"/>
                <w:color w:val="auto"/>
              </w:rPr>
            </w:pPr>
          </w:p>
        </w:tc>
      </w:tr>
      <w:tr>
        <w:trPr>
          <w:trHeight w:val="200"/>
        </w:trPr>
        <w:tc>
          <w:tcPr>
            <w:tcW w:w="58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Vessel disposals</w:t>
            </w: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(143,692)</w:t>
            </w:r>
          </w:p>
        </w:tc>
        <w:tc>
          <w:tcPr>
            <w:tcW w:w="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63,159</w:t>
            </w:r>
          </w:p>
        </w:tc>
        <w:tc>
          <w:tcPr>
            <w:tcW w:w="12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(80,533)</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Improvements</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1,873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0" w:type="dxa"/>
            <w:vAlign w:val="bottom"/>
          </w:tcPr>
          <w:p>
            <w:pPr>
              <w:spacing w:after="0"/>
              <w:rPr>
                <w:sz w:val="1"/>
                <w:szCs w:val="1"/>
                <w:color w:val="auto"/>
              </w:rPr>
            </w:pPr>
          </w:p>
        </w:tc>
      </w:tr>
      <w:tr>
        <w:trPr>
          <w:trHeight w:val="200"/>
        </w:trPr>
        <w:tc>
          <w:tcPr>
            <w:tcW w:w="58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Depreciation for the year</w:t>
            </w: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7"/>
                <w:szCs w:val="17"/>
                <w:color w:val="auto"/>
              </w:rPr>
              <w:t>(66,884)</w:t>
            </w:r>
          </w:p>
        </w:tc>
        <w:tc>
          <w:tcPr>
            <w:tcW w:w="12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(66,884)</w:t>
            </w:r>
          </w:p>
        </w:tc>
        <w:tc>
          <w:tcPr>
            <w:tcW w:w="0" w:type="dxa"/>
            <w:vAlign w:val="bottom"/>
          </w:tcPr>
          <w:p>
            <w:pPr>
              <w:spacing w:after="0"/>
              <w:rPr>
                <w:sz w:val="1"/>
                <w:szCs w:val="1"/>
                <w:color w:val="auto"/>
              </w:rPr>
            </w:pPr>
          </w:p>
        </w:tc>
      </w:tr>
      <w:tr>
        <w:trPr>
          <w:trHeight w:val="193"/>
        </w:trPr>
        <w:tc>
          <w:tcPr>
            <w:tcW w:w="58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as at December 31, 2022</w:t>
            </w:r>
          </w:p>
        </w:tc>
        <w:tc>
          <w:tcPr>
            <w:tcW w:w="15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2,003,658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(221,761)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1,781,897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7"/>
          <w:szCs w:val="17"/>
          <w:color w:val="auto"/>
        </w:rPr>
        <w:t>Two vessels with an aggregate net book value of $316,910 as of December 31, 2022, have been provided as collateral under the terms of the Partnership’s credit facilities (Note 7). This excludes 11 vessels financed through sale and lease back agreements, for which the title of ownership is held by the relevant lender, with an aggregate net book value of $1,173,226 as of December 31, 2022, (Note 7) and seven unencumbered vessels of an aggregate net book value of $267,761 as of December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Vessel acquisitions and advances</w:t>
      </w:r>
    </w:p>
    <w:p>
      <w:pPr>
        <w:spacing w:after="0" w:line="205" w:lineRule="exact"/>
        <w:rPr>
          <w:sz w:val="20"/>
          <w:szCs w:val="20"/>
          <w:color w:val="auto"/>
        </w:rPr>
      </w:pPr>
    </w:p>
    <w:p>
      <w:pPr>
        <w:ind w:left="600" w:hanging="299"/>
        <w:spacing w:after="0"/>
        <w:tabs>
          <w:tab w:leader="none" w:pos="6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For the year 2022</w:t>
      </w:r>
    </w:p>
    <w:p>
      <w:pPr>
        <w:spacing w:after="0" w:line="3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June 6, 2022, the Partnership entered into the Master Agreement with CMTC and agreed to exercise its right of first offer in order to acquire one 174,000 CBM latest generation X-DF LNG/C vessel and three 13,312 TEU hybrid scrubber-fitted dual fuel ready eco container carrier sister vessels from CMTC, for total consideration of $596,583. On June 21, 2022, the Partnership paid total advances in relation to the above agreement of $30,000.</w:t>
      </w:r>
    </w:p>
    <w:p>
      <w:pPr>
        <w:spacing w:after="0" w:line="3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October 12, 2022, the Partnership acquired from CMTC the shares of the company owning the M/V Manzanillo Express for a total consideration of $121,583 which was funded through debt of $105,000 (Note 7), by granting 505,204 common units to CMTC out of the Partnership’s treasury units (Note 12), by a $6,000 advance paid in June 2022 and cash at hand. The Partnership accounted for this acquisition as acquisition of an asset since the fair value of the vessel and the time charter attached are concentrated in a single identifiable asset. The Partnership considered whether any value should be assigned to the attached charter party agreement acquired and concluded that the terms of the agreement were at market on the acquisition date and therefore the total consideration amount was allocated to the vessel’s cost.</w:t>
      </w:r>
    </w:p>
    <w:p>
      <w:pPr>
        <w:spacing w:after="0" w:line="260"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F- 15</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Vessels, net and advances for vessels under construction -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Vessel acquisitions and advances - Continued</w:t>
      </w:r>
    </w:p>
    <w:p>
      <w:pPr>
        <w:spacing w:after="0" w:line="205" w:lineRule="exact"/>
        <w:rPr>
          <w:sz w:val="20"/>
          <w:szCs w:val="20"/>
          <w:color w:val="auto"/>
        </w:rPr>
      </w:pPr>
    </w:p>
    <w:p>
      <w:pPr>
        <w:ind w:left="600" w:hanging="299"/>
        <w:spacing w:after="0"/>
        <w:tabs>
          <w:tab w:leader="none" w:pos="6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For the year 2022 - Continued</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second container carrier vessel, the M/V Itajai Express was acquired by the Partnership in January 2023 (Note 16). As of December 31, 2022, the Partnership had paid an advance of $6,000 being part of the advance paid in June 2022 to CMTC in connection with this acquisition.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third container vessel, to be named “Buenaventura Express”, is currently under construction by Hyundai Samho Heavy Industries Co. Ltd., (“Hyundai Samho”) and is scheduled for delivery to the Partnership in June 2023, upon its respective delivery from the shipyard. The total consideration for the acquisition of the shares of the company owning the M/V Buenaventura Express from CMTC is $122,500. As of December 31, 2022, the Partnership had paid an advance of $6,000 being part of the advance paid in June 2022 to CMTC in connection with this acquisition.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LNG/C Asterix I, was acquired by the Partnership in February 2023 (Note 16). As of December 31, 2022, the Partnership had paid an advance of $12,000 in June 2022 to CMTC in connection with this acquisition.</w:t>
      </w:r>
    </w:p>
    <w:p>
      <w:pPr>
        <w:spacing w:after="0" w:line="355" w:lineRule="exact"/>
        <w:rPr>
          <w:sz w:val="20"/>
          <w:szCs w:val="20"/>
          <w:color w:val="auto"/>
        </w:rPr>
      </w:pPr>
    </w:p>
    <w:p>
      <w:pPr>
        <w:ind w:left="600" w:hanging="299"/>
        <w:spacing w:after="0"/>
        <w:tabs>
          <w:tab w:leader="none" w:pos="6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For the year 2021</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November 29, 2021 the Partnership entered into a Share Purchase Agreement (“SPA”) with CGC for the acquisition of the shares of the company owning a 174,000 CBM LNG/C vessel, namely the LNG/C Adamastos, built in 2021, at Hyundai Heavy Industries Co., Ltd (“Hyundai”) for a total consideration of $220,000. The LNG/C Adamastos was delivered to the Partnership on November 29, 2021.</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November 18, 2021 the Partnership entered into two separate SPAs with CGC for the acquisition of the shares of the companies owning two 174,000 CBM LNG vessels, namely the LNG/C Asklipios and the LNG/C Attalos, built in 2021, at Hyundai for a total consideration of $196,000 and $207,000, respectively. The LNG/C Asklipios and the LNG/C Attalos were delivered to the Partnership on November 18, 2021.</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August 31, 2021 the Partnership entered into three separate SPAs with CGC for the acquisition of the shares of the companies owning three 174,000 CBM LNG/C vessels, namely the LNG/C Aristos I, built in 2020 and the LNG/Cs Aristarchos and Aristidis I, both built in 2021, at Hyundai for a total consideration of $203,139, $191,639 and $205,000 respectively. The LNG/C Aristos I and the LNG/C Aristarchos were delivered to the Partnership on September 3, 2021, while the LNG/C Aristidis I was delivered on December 16, 2021.</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27, 2021, the Partnership entered into three separate SPAs with CMTC for the acquisition of the shares of the companies owning three 5,089 TEU sister container vessels, namely the M/V Long Beach Express, the M/V Seattle Express and the M/V Fos Express, all built in 2008 at Hanjin Heavy Industries S. Korea, for a total consideration of $40,500. In addition, the Partnership recognized expenses of $250, included in vessels’ cost, in connection with the acquisition of the three container vessels. The M/V Long Beach Express, the M/V Seattle Express and the M/V Fos Express were delivered to the Partnership on February 25, 2021.</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vessels were acquired with attached charter party agreements.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Partnership accounted for these acquisitions as acquisition of assets since the fair values of the vessels and the time charters attached are concentrated in a single identifiable asset. The Partnership considered whether any value should be assigned to the attached charter party agreements acquired and concluded that the contracted daily charter rate for the LNG/C Aristos I, the LNG/C Aristidis I, the LNG/C Attalos and the LNG/C Adamastos were above the market rate and for the LNG/C Aristarchos, the LNG/C Asklipios, the M/V Long Beach Express, the M/V Seattle Express and the M/V Fos Express were below the market rate on the acquisition date and therefore the total consideration was allocated to the vessel’s cost and the above and below market acquired charters, respectively. The Partnership allocated the cost of the vessels and the time charters acquired on the basis of their relative fair values.</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vessels were recorded in the Partnership’s financial statements at a total value of $1,256,858, reflecting a net reduction of $6,670 from the acquisition cost of $1,263,528 due to the value of the charters that were attached to the vessels at the time of the respective acquisitions (Note 6).</w:t>
      </w:r>
    </w:p>
    <w:p>
      <w:pPr>
        <w:spacing w:after="0" w:line="258"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F- 16</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Vessels, net and advances for vessels under construction -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Improvements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2022 and 2021, certain of the Partnership’s vessels underwent improvements. The costs of these improvements amounted to $1,873 and $374 respectively and were capitalized as part of the vessels’ cost. Improvements during the year ended December 31, 2022, included the cost of $1,524 relating to the installation of ballast water treatment (“BWT”) systems for certain of the Partnership’s vessels. During the year ended December 31, 2021, no such installations took place.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2022 and 2021, the Partnership paid advances of $1,498 and $336 respectively, relating to the purchase of exhaust gas cleaning systems (“Scrubbers”) and BWT systems that will be installed to certain of its vessels.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Vessel disposals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30, 2022, the Partnership entered into two separate Memorandum of Agreements (“MOA”) for the sale of the M/V Archimidis and the M/V Agamemnon to an unaffiliated party for total consideration of $65,000 each. The Partnership decided to enter into these MOAs after receiving the Buyers’ purchase enquiries, which were opportunistic in nature. Upon entering the MOAs, the Partnership considered that the M/V Archimidis and the M/V Agamemnon met the criteria to be classified as held for sale. At that time the vessels’ fair value less cost to sell exceeded their carrying amount, so no impairment charge was recognized in the Partnership’s consolidated statement of comprehensive income for the year ended December 31, 2022. The M/V Archimidis was delivered to its new owner on July 6, 2022, and the M/V Agamemnon on July 28,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2022, the Partnership recognized a gain on sale of vessels analyzed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Vessel</w:t>
            </w: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M/V</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M/V</w:t>
            </w:r>
          </w:p>
        </w:tc>
        <w:tc>
          <w:tcPr>
            <w:tcW w:w="3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21"/>
        </w:trPr>
        <w:tc>
          <w:tcPr>
            <w:tcW w:w="442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Agamemnon</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Archimidis</w:t>
            </w:r>
          </w:p>
        </w:tc>
        <w:tc>
          <w:tcPr>
            <w:tcW w:w="3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Sale price</w:t>
            </w:r>
          </w:p>
        </w:tc>
        <w:tc>
          <w:tcPr>
            <w:tcW w:w="290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65,000</w:t>
            </w:r>
          </w:p>
        </w:tc>
        <w:tc>
          <w:tcPr>
            <w:tcW w:w="60" w:type="dxa"/>
            <w:vAlign w:val="bottom"/>
            <w:tcBorders>
              <w:top w:val="single" w:sz="8" w:color="CCECFF"/>
            </w:tcBorders>
            <w:shd w:val="clear" w:color="auto" w:fill="CCECFF"/>
          </w:tcPr>
          <w:p>
            <w:pPr>
              <w:spacing w:after="0"/>
              <w:rPr>
                <w:sz w:val="16"/>
                <w:szCs w:val="16"/>
                <w:color w:val="auto"/>
              </w:rPr>
            </w:pPr>
          </w:p>
        </w:tc>
        <w:tc>
          <w:tcPr>
            <w:tcW w:w="40" w:type="dxa"/>
            <w:vAlign w:val="bottom"/>
            <w:tcBorders>
              <w:top w:val="single" w:sz="8" w:color="CCECFF"/>
            </w:tcBorders>
            <w:shd w:val="clear" w:color="auto" w:fill="CCECFF"/>
          </w:tcPr>
          <w:p>
            <w:pPr>
              <w:spacing w:after="0"/>
              <w:rPr>
                <w:sz w:val="16"/>
                <w:szCs w:val="16"/>
                <w:color w:val="auto"/>
              </w:rPr>
            </w:pPr>
          </w:p>
        </w:tc>
        <w:tc>
          <w:tcPr>
            <w:tcW w:w="280" w:type="dxa"/>
            <w:vAlign w:val="bottom"/>
            <w:tcBorders>
              <w:top w:val="single" w:sz="8" w:color="auto"/>
            </w:tcBorders>
            <w:shd w:val="clear" w:color="auto" w:fill="CCEC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65,000</w:t>
            </w:r>
          </w:p>
        </w:tc>
        <w:tc>
          <w:tcPr>
            <w:tcW w:w="120" w:type="dxa"/>
            <w:vAlign w:val="bottom"/>
            <w:tcBorders>
              <w:top w:val="single" w:sz="8" w:color="CCECFF"/>
            </w:tcBorders>
            <w:shd w:val="clear" w:color="auto" w:fill="CCECFF"/>
          </w:tcPr>
          <w:p>
            <w:pPr>
              <w:spacing w:after="0"/>
              <w:rPr>
                <w:sz w:val="16"/>
                <w:szCs w:val="16"/>
                <w:color w:val="auto"/>
              </w:rPr>
            </w:pPr>
          </w:p>
        </w:tc>
        <w:tc>
          <w:tcPr>
            <w:tcW w:w="380" w:type="dxa"/>
            <w:vAlign w:val="bottom"/>
            <w:tcBorders>
              <w:top w:val="single" w:sz="8" w:color="auto"/>
            </w:tcBorders>
            <w:shd w:val="clear" w:color="auto" w:fill="CCECFF"/>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130,000</w:t>
            </w: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Carrying value on sale</w:t>
            </w: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(41,806)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(38,727)</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(80,533)</w:t>
            </w:r>
          </w:p>
        </w:tc>
        <w:tc>
          <w:tcPr>
            <w:tcW w:w="0" w:type="dxa"/>
            <w:vAlign w:val="bottom"/>
          </w:tcPr>
          <w:p>
            <w:pPr>
              <w:spacing w:after="0"/>
              <w:rPr>
                <w:sz w:val="1"/>
                <w:szCs w:val="1"/>
                <w:color w:val="auto"/>
              </w:rPr>
            </w:pPr>
          </w:p>
        </w:tc>
      </w:tr>
      <w:tr>
        <w:trPr>
          <w:trHeight w:val="200"/>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Other sale expenses</w:t>
            </w:r>
          </w:p>
        </w:tc>
        <w:tc>
          <w:tcPr>
            <w:tcW w:w="29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(1,099)</w:t>
            </w:r>
          </w:p>
        </w:tc>
        <w:tc>
          <w:tcPr>
            <w:tcW w:w="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2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0" w:type="dxa"/>
            <w:vAlign w:val="bottom"/>
          </w:tcPr>
          <w:p>
            <w:pPr>
              <w:spacing w:after="0"/>
              <w:rPr>
                <w:sz w:val="1"/>
                <w:szCs w:val="1"/>
                <w:color w:val="auto"/>
              </w:rPr>
            </w:pPr>
          </w:p>
        </w:tc>
      </w:tr>
      <w:tr>
        <w:trPr>
          <w:trHeight w:val="198"/>
        </w:trPr>
        <w:tc>
          <w:tcPr>
            <w:tcW w:w="44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Gain on sale</w:t>
            </w:r>
          </w:p>
        </w:tc>
        <w:tc>
          <w:tcPr>
            <w:tcW w:w="29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22,095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25,180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47,275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April 7, 2021, the Partnership entered into two separate MOAs with a third party for the sale of the M/V CMA CGM Magdalena and the M/V Adonis at a price of $99,000 and $96,000, respectively. The Partnership decided to enter into these MOAs after receiving the Buyers’ purchase enquiries which were opportunistic in nature. Upon entering the MOAs the Company considered that both vessels met the criteria to be classified as held for sale. At that time the vessels’ fair value less cost to sell exceeded their carrying amount, so no impairment charge was recognized in the Partnership’s consolidated statement of comprehensive income for the year ended December 31, 2021. The vessels were delivered to their new owners on May 17, 2021 and December 13, 2021, respectively. For the year ended December 31, 2021, the Partnership recognized a gain on the sale of vessels analyzed as follows:</w:t>
      </w: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7"/>
                <w:szCs w:val="17"/>
                <w:b w:val="1"/>
                <w:bCs w:val="1"/>
                <w:color w:val="auto"/>
              </w:rPr>
              <w:t>M/V CMA</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Vessel</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CGM</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M/V Adonis</w:t>
            </w:r>
          </w:p>
        </w:tc>
        <w:tc>
          <w:tcPr>
            <w:tcW w:w="3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1"/>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Magdalena</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732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Sale price</w:t>
            </w:r>
          </w:p>
        </w:tc>
        <w:tc>
          <w:tcPr>
            <w:tcW w:w="260" w:type="dxa"/>
            <w:vAlign w:val="bottom"/>
            <w:tcBorders>
              <w:top w:val="single" w:sz="8" w:color="auto"/>
            </w:tcBorders>
            <w:shd w:val="clear" w:color="auto" w:fill="CCEC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99,000</w:t>
            </w:r>
          </w:p>
        </w:tc>
        <w:tc>
          <w:tcPr>
            <w:tcW w:w="10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96,000</w:t>
            </w:r>
          </w:p>
        </w:tc>
        <w:tc>
          <w:tcPr>
            <w:tcW w:w="120" w:type="dxa"/>
            <w:vAlign w:val="bottom"/>
            <w:tcBorders>
              <w:top w:val="single" w:sz="8" w:color="CCECFF"/>
            </w:tcBorders>
            <w:shd w:val="clear" w:color="auto" w:fill="CCECFF"/>
          </w:tcPr>
          <w:p>
            <w:pPr>
              <w:spacing w:after="0"/>
              <w:rPr>
                <w:sz w:val="16"/>
                <w:szCs w:val="16"/>
                <w:color w:val="auto"/>
              </w:rPr>
            </w:pPr>
          </w:p>
        </w:tc>
        <w:tc>
          <w:tcPr>
            <w:tcW w:w="320" w:type="dxa"/>
            <w:vAlign w:val="bottom"/>
            <w:tcBorders>
              <w:top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195,000</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Carrying value on sale</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(71,598)</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(72,637)</w:t>
            </w:r>
          </w:p>
        </w:tc>
        <w:tc>
          <w:tcPr>
            <w:tcW w:w="3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(144,235)</w:t>
            </w:r>
          </w:p>
        </w:tc>
      </w:tr>
      <w:tr>
        <w:trPr>
          <w:trHeight w:val="200"/>
        </w:trPr>
        <w:tc>
          <w:tcPr>
            <w:tcW w:w="73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Other sale expenses</w:t>
            </w:r>
          </w:p>
        </w:tc>
        <w:tc>
          <w:tcPr>
            <w:tcW w:w="26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7"/>
                <w:szCs w:val="17"/>
                <w:color w:val="auto"/>
              </w:rPr>
              <w:t>(2,018)</w:t>
            </w:r>
          </w:p>
        </w:tc>
        <w:tc>
          <w:tcPr>
            <w:tcW w:w="240" w:type="dxa"/>
            <w:vAlign w:val="bottom"/>
            <w:shd w:val="clear" w:color="auto" w:fill="CCECFF"/>
          </w:tcPr>
          <w:p>
            <w:pPr>
              <w:spacing w:after="0"/>
              <w:rPr>
                <w:sz w:val="17"/>
                <w:szCs w:val="17"/>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(3,953)</w:t>
            </w:r>
          </w:p>
        </w:tc>
      </w:tr>
      <w:tr>
        <w:trPr>
          <w:trHeight w:val="198"/>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Gain on sale</w:t>
            </w:r>
          </w:p>
        </w:tc>
        <w:tc>
          <w:tcPr>
            <w:tcW w:w="260" w:type="dxa"/>
            <w:vAlign w:val="bottom"/>
            <w:tcBorders>
              <w:top w:val="single" w:sz="8" w:color="auto"/>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25,384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21,428</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46,812</w:t>
            </w:r>
          </w:p>
        </w:tc>
      </w:tr>
      <w:tr>
        <w:trPr>
          <w:trHeight w:val="463"/>
        </w:trPr>
        <w:tc>
          <w:tcPr>
            <w:tcW w:w="7320" w:type="dxa"/>
            <w:vAlign w:val="bottom"/>
          </w:tcPr>
          <w:p>
            <w:pPr>
              <w:ind w:left="5460"/>
              <w:spacing w:after="0"/>
              <w:rPr>
                <w:sz w:val="20"/>
                <w:szCs w:val="20"/>
                <w:color w:val="auto"/>
              </w:rPr>
            </w:pPr>
            <w:r>
              <w:rPr>
                <w:rFonts w:ascii="Times New Roman" w:cs="Times New Roman" w:eastAsia="Times New Roman" w:hAnsi="Times New Roman"/>
                <w:sz w:val="17"/>
                <w:szCs w:val="17"/>
                <w:color w:val="auto"/>
              </w:rPr>
              <w:t>F- 17</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7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Above / Below market acquired charters</w:t>
      </w:r>
    </w:p>
    <w:p>
      <w:pPr>
        <w:spacing w:after="0" w:line="20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During the year ended December 31, 2022, the Partnership acquired the M/V Manzanillo Express with time charter attached to the vessel, with time charter daily rate being at market rate for equivalent time charter prevailing at the time of acquisition (Note 5). As a result, no above / below market acquired charter was recognized.</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During the year ended December 31, 2021, the Partnership acquired the LNG/C Aristos I, the LNG/C Aristidis I, the LNG/C Attalos and the LNG/C Adamastos with time charters attached to the vessels, with time charters daily rates being above the market rates for equivalent time charters prevailing at the time of acquisitions (Note 5). During the year ended December 31, 2021, the Partnership acquired the LNG/C Aristarchos, the LNG/C Asklipios, the M/V Long Beach Express, the M/V Seattle Express and the M/V Fos Express with time charters attached to the vessels with time charters daily rates being below the market rates for equivalent time charters prevailing at the time of acquisitions (Note 5). The fair value of the time charters attached to the vessels representing the difference between the time charters rates at which the vessels were fixed and the market rates for comparable charters as determined by reference to market data on the acquisition dates were recorded as “Above market acquired charters” under other non-current assets or “Below market acquired charters” under long-term liabilities in the consolidated balance sheet as of the acquisition dates respectively. The fair values of the time charters attached were determined using Level 2 inputs being market values on the acquisition dates (Note 8).</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Above and below market acquired time charters are amortized or accreted using the straight-line method over the remaining period of the time charters acquired as a reduction or addition to time charter revenues. For the years ended December 31, 2022 and 2021 such amortization to time charter revenues for the above market acquired time charters amounted to $16,285 and $9,949, respectively. For the years ended December 31, 2022 and 2021 such accretion to time charter revenues for the below market acquired time charters amounted to $4,275 and $2,662,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an analysis of above / below market acquired charters: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Above market</w:t>
            </w:r>
          </w:p>
        </w:tc>
        <w:tc>
          <w:tcPr>
            <w:tcW w:w="1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Below market</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acquired</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acquired</w:t>
            </w:r>
          </w:p>
        </w:tc>
        <w:tc>
          <w:tcPr>
            <w:tcW w:w="0" w:type="dxa"/>
            <w:vAlign w:val="bottom"/>
          </w:tcPr>
          <w:p>
            <w:pPr>
              <w:spacing w:after="0"/>
              <w:rPr>
                <w:sz w:val="1"/>
                <w:szCs w:val="1"/>
                <w:color w:val="auto"/>
              </w:rPr>
            </w:pPr>
          </w:p>
        </w:tc>
      </w:tr>
      <w:tr>
        <w:trPr>
          <w:trHeight w:val="221"/>
        </w:trPr>
        <w:tc>
          <w:tcPr>
            <w:tcW w:w="7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charters</w:t>
            </w: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charters</w:t>
            </w:r>
          </w:p>
        </w:tc>
        <w:tc>
          <w:tcPr>
            <w:tcW w:w="0" w:type="dxa"/>
            <w:vAlign w:val="bottom"/>
          </w:tcPr>
          <w:p>
            <w:pPr>
              <w:spacing w:after="0"/>
              <w:rPr>
                <w:sz w:val="1"/>
                <w:szCs w:val="1"/>
                <w:color w:val="auto"/>
              </w:rPr>
            </w:pPr>
          </w:p>
        </w:tc>
      </w:tr>
      <w:tr>
        <w:trPr>
          <w:trHeight w:val="193"/>
        </w:trPr>
        <w:tc>
          <w:tcPr>
            <w:tcW w:w="712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Carrying amount as at January 1, 2021</w:t>
            </w:r>
          </w:p>
        </w:tc>
        <w:tc>
          <w:tcPr>
            <w:tcW w:w="1540" w:type="dxa"/>
            <w:vAlign w:val="bottom"/>
            <w:tcBorders>
              <w:top w:val="single" w:sz="8" w:color="CCECFF"/>
            </w:tcBorders>
            <w:shd w:val="clear" w:color="auto" w:fill="CCECFF"/>
          </w:tcPr>
          <w:p>
            <w:pPr>
              <w:spacing w:after="0"/>
              <w:rPr>
                <w:sz w:val="16"/>
                <w:szCs w:val="16"/>
                <w:color w:val="auto"/>
              </w:rPr>
            </w:pPr>
          </w:p>
        </w:tc>
        <w:tc>
          <w:tcPr>
            <w:tcW w:w="14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34,579</w:t>
            </w:r>
          </w:p>
        </w:tc>
        <w:tc>
          <w:tcPr>
            <w:tcW w:w="120" w:type="dxa"/>
            <w:vAlign w:val="bottom"/>
            <w:tcBorders>
              <w:top w:val="single" w:sz="8" w:color="CCECFF"/>
            </w:tcBorders>
            <w:shd w:val="clear" w:color="auto" w:fill="CCECFF"/>
          </w:tcPr>
          <w:p>
            <w:pPr>
              <w:spacing w:after="0"/>
              <w:rPr>
                <w:sz w:val="16"/>
                <w:szCs w:val="16"/>
                <w:color w:val="auto"/>
              </w:rPr>
            </w:pPr>
          </w:p>
        </w:tc>
        <w:tc>
          <w:tcPr>
            <w:tcW w:w="14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0"/>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23,975</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(17,305)</w:t>
            </w:r>
          </w:p>
        </w:tc>
        <w:tc>
          <w:tcPr>
            <w:tcW w:w="0" w:type="dxa"/>
            <w:vAlign w:val="bottom"/>
          </w:tcPr>
          <w:p>
            <w:pPr>
              <w:spacing w:after="0"/>
              <w:rPr>
                <w:sz w:val="1"/>
                <w:szCs w:val="1"/>
                <w:color w:val="auto"/>
              </w:rPr>
            </w:pPr>
          </w:p>
        </w:tc>
      </w:tr>
      <w:tr>
        <w:trPr>
          <w:trHeight w:val="200"/>
        </w:trPr>
        <w:tc>
          <w:tcPr>
            <w:tcW w:w="71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(Amortization) / accretion</w:t>
            </w:r>
          </w:p>
        </w:tc>
        <w:tc>
          <w:tcPr>
            <w:tcW w:w="154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(9,949)</w:t>
            </w:r>
          </w:p>
        </w:tc>
        <w:tc>
          <w:tcPr>
            <w:tcW w:w="12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0" w:type="dxa"/>
            <w:vAlign w:val="bottom"/>
          </w:tcPr>
          <w:p>
            <w:pPr>
              <w:spacing w:after="0"/>
              <w:rPr>
                <w:sz w:val="1"/>
                <w:szCs w:val="1"/>
                <w:color w:val="auto"/>
              </w:rPr>
            </w:pPr>
          </w:p>
        </w:tc>
      </w:tr>
      <w:tr>
        <w:trPr>
          <w:trHeight w:val="193"/>
        </w:trPr>
        <w:tc>
          <w:tcPr>
            <w:tcW w:w="7120" w:type="dxa"/>
            <w:vAlign w:val="bottom"/>
            <w:tcBorders>
              <w:bottom w:val="single" w:sz="8" w:color="CCEC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Carrying amount as at December 31, 2021</w:t>
            </w:r>
          </w:p>
        </w:tc>
        <w:tc>
          <w:tcPr>
            <w:tcW w:w="1540" w:type="dxa"/>
            <w:vAlign w:val="bottom"/>
            <w:tcBorders>
              <w:bottom w:val="single" w:sz="8" w:color="CCECFF"/>
            </w:tcBorders>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48,605</w:t>
            </w:r>
          </w:p>
        </w:tc>
        <w:tc>
          <w:tcPr>
            <w:tcW w:w="120" w:type="dxa"/>
            <w:vAlign w:val="bottom"/>
            <w:tcBorders>
              <w:bottom w:val="single" w:sz="8" w:color="CCECFF"/>
            </w:tcBorders>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(14,643)</w:t>
            </w:r>
          </w:p>
        </w:tc>
        <w:tc>
          <w:tcPr>
            <w:tcW w:w="0" w:type="dxa"/>
            <w:vAlign w:val="bottom"/>
          </w:tcPr>
          <w:p>
            <w:pPr>
              <w:spacing w:after="0"/>
              <w:rPr>
                <w:sz w:val="1"/>
                <w:szCs w:val="1"/>
                <w:color w:val="auto"/>
              </w:rPr>
            </w:pPr>
          </w:p>
        </w:tc>
      </w:tr>
      <w:tr>
        <w:trPr>
          <w:trHeight w:val="193"/>
        </w:trPr>
        <w:tc>
          <w:tcPr>
            <w:tcW w:w="712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(Amortization) / accretion</w:t>
            </w:r>
          </w:p>
        </w:tc>
        <w:tc>
          <w:tcPr>
            <w:tcW w:w="1540" w:type="dxa"/>
            <w:vAlign w:val="bottom"/>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spacing w:after="0"/>
              <w:rPr>
                <w:sz w:val="16"/>
                <w:szCs w:val="16"/>
                <w:color w:val="auto"/>
              </w:rPr>
            </w:pPr>
          </w:p>
        </w:tc>
        <w:tc>
          <w:tcPr>
            <w:tcW w:w="110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(16,285)</w:t>
            </w:r>
          </w:p>
        </w:tc>
        <w:tc>
          <w:tcPr>
            <w:tcW w:w="120" w:type="dxa"/>
            <w:vAlign w:val="bottom"/>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spacing w:after="0"/>
              <w:rPr>
                <w:sz w:val="16"/>
                <w:szCs w:val="16"/>
                <w:color w:val="auto"/>
              </w:rPr>
            </w:pPr>
          </w:p>
        </w:tc>
        <w:tc>
          <w:tcPr>
            <w:tcW w:w="108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4,275</w:t>
            </w:r>
          </w:p>
        </w:tc>
        <w:tc>
          <w:tcPr>
            <w:tcW w:w="0" w:type="dxa"/>
            <w:vAlign w:val="bottom"/>
          </w:tcPr>
          <w:p>
            <w:pPr>
              <w:spacing w:after="0"/>
              <w:rPr>
                <w:sz w:val="1"/>
                <w:szCs w:val="1"/>
                <w:color w:val="auto"/>
              </w:rPr>
            </w:pPr>
          </w:p>
        </w:tc>
      </w:tr>
      <w:tr>
        <w:trPr>
          <w:trHeight w:val="198"/>
        </w:trPr>
        <w:tc>
          <w:tcPr>
            <w:tcW w:w="71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Carrying amount as at December 31, 2022</w:t>
            </w:r>
          </w:p>
        </w:tc>
        <w:tc>
          <w:tcPr>
            <w:tcW w:w="15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32,320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(10,368)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December 31, 2022, the remaining carrying amount of unamortized above / below market acquired time charters will be amortized / accreted in future years as follows:</w:t>
      </w: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7"/>
                <w:szCs w:val="17"/>
                <w:b w:val="1"/>
                <w:bCs w:val="1"/>
                <w:color w:val="auto"/>
                <w:w w:val="98"/>
              </w:rPr>
              <w:t>Above market</w:t>
            </w:r>
          </w:p>
        </w:tc>
        <w:tc>
          <w:tcPr>
            <w:tcW w:w="12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6"/>
              </w:rPr>
              <w:t>Below market</w:t>
            </w:r>
          </w:p>
        </w:tc>
      </w:t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 the year ending December 31,</w:t>
            </w:r>
          </w:p>
        </w:tc>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acquired</w:t>
            </w:r>
          </w:p>
        </w:tc>
        <w:tc>
          <w:tcPr>
            <w:tcW w:w="1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acquired</w:t>
            </w:r>
          </w:p>
        </w:tc>
      </w:tr>
      <w:tr>
        <w:trPr>
          <w:trHeight w:val="221"/>
        </w:trPr>
        <w:tc>
          <w:tcPr>
            <w:tcW w:w="39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charters</w:t>
            </w:r>
          </w:p>
        </w:tc>
        <w:tc>
          <w:tcPr>
            <w:tcW w:w="1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charters</w:t>
            </w:r>
          </w:p>
        </w:tc>
      </w:tr>
      <w:tr>
        <w:trPr>
          <w:trHeight w:val="193"/>
        </w:trPr>
        <w:tc>
          <w:tcPr>
            <w:tcW w:w="394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2023</w:t>
            </w:r>
          </w:p>
        </w:tc>
        <w:tc>
          <w:tcPr>
            <w:tcW w:w="4720" w:type="dxa"/>
            <w:vAlign w:val="bottom"/>
            <w:tcBorders>
              <w:top w:val="single" w:sz="8" w:color="CCECFF"/>
            </w:tcBorders>
            <w:shd w:val="clear" w:color="auto" w:fill="CCECFF"/>
          </w:tcPr>
          <w:p>
            <w:pPr>
              <w:spacing w:after="0"/>
              <w:rPr>
                <w:sz w:val="16"/>
                <w:szCs w:val="16"/>
                <w:color w:val="auto"/>
              </w:rPr>
            </w:pPr>
          </w:p>
        </w:tc>
        <w:tc>
          <w:tcPr>
            <w:tcW w:w="14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15,407</w:t>
            </w:r>
          </w:p>
        </w:tc>
        <w:tc>
          <w:tcPr>
            <w:tcW w:w="12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(4,275)</w:t>
            </w:r>
          </w:p>
        </w:tc>
      </w:t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(4,287)</w:t>
            </w:r>
          </w:p>
        </w:tc>
      </w:tr>
      <w:tr>
        <w:trPr>
          <w:trHeight w:val="200"/>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2025</w:t>
            </w:r>
          </w:p>
        </w:tc>
        <w:tc>
          <w:tcPr>
            <w:tcW w:w="47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3,935</w:t>
            </w:r>
          </w:p>
        </w:tc>
        <w:tc>
          <w:tcPr>
            <w:tcW w:w="1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(1,806)</w:t>
            </w:r>
          </w:p>
        </w:tc>
      </w:tr>
      <w:tr>
        <w:trPr>
          <w:trHeight w:val="200"/>
        </w:trPr>
        <w:tc>
          <w:tcPr>
            <w:tcW w:w="39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472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3940" w:type="dxa"/>
            <w:vAlign w:val="bottom"/>
            <w:tcBorders>
              <w:bottom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47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32,320</w:t>
            </w:r>
          </w:p>
        </w:tc>
        <w:tc>
          <w:tcPr>
            <w:tcW w:w="12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(10,368)</w:t>
            </w:r>
          </w:p>
        </w:tc>
      </w:tr>
      <w:tr>
        <w:trPr>
          <w:trHeight w:val="463"/>
        </w:trPr>
        <w:tc>
          <w:tcPr>
            <w:tcW w:w="3940" w:type="dxa"/>
            <w:vAlign w:val="bottom"/>
          </w:tcPr>
          <w:p>
            <w:pPr>
              <w:spacing w:after="0"/>
              <w:rPr>
                <w:sz w:val="24"/>
                <w:szCs w:val="24"/>
                <w:color w:val="auto"/>
              </w:rPr>
            </w:pPr>
          </w:p>
        </w:tc>
        <w:tc>
          <w:tcPr>
            <w:tcW w:w="4860" w:type="dxa"/>
            <w:vAlign w:val="bottom"/>
            <w:gridSpan w:val="2"/>
          </w:tcPr>
          <w:p>
            <w:pPr>
              <w:jc w:val="right"/>
              <w:ind w:right="2917"/>
              <w:spacing w:after="0"/>
              <w:rPr>
                <w:sz w:val="20"/>
                <w:szCs w:val="20"/>
                <w:color w:val="auto"/>
              </w:rPr>
            </w:pPr>
            <w:r>
              <w:rPr>
                <w:rFonts w:ascii="Times New Roman" w:cs="Times New Roman" w:eastAsia="Times New Roman" w:hAnsi="Times New Roman"/>
                <w:sz w:val="17"/>
                <w:szCs w:val="17"/>
                <w:color w:val="auto"/>
              </w:rPr>
              <w:t>F- 18</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3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Long-Term Debt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consists of the following credit facilities, sale and lease back agreements and unsecured bonds:</w:t>
      </w:r>
    </w:p>
    <w:p>
      <w:pPr>
        <w:spacing w:after="0" w:line="21" w:lineRule="exact"/>
        <w:rPr>
          <w:sz w:val="20"/>
          <w:szCs w:val="20"/>
          <w:color w:val="auto"/>
        </w:rPr>
      </w:pPr>
    </w:p>
    <w:p>
      <w:pPr>
        <w:ind w:left="6540"/>
        <w:spacing w:after="0"/>
        <w:tabs>
          <w:tab w:leader="none" w:pos="8420" w:val="left"/>
        </w:tabs>
        <w:rPr>
          <w:sz w:val="20"/>
          <w:szCs w:val="20"/>
          <w:color w:val="auto"/>
        </w:rPr>
      </w:pPr>
      <w:r>
        <w:rPr>
          <w:rFonts w:ascii="Times New Roman" w:cs="Times New Roman" w:eastAsia="Times New Roman" w:hAnsi="Times New Roman"/>
          <w:sz w:val="17"/>
          <w:szCs w:val="17"/>
          <w:b w:val="1"/>
          <w:bCs w:val="1"/>
          <w:color w:val="auto"/>
        </w:rPr>
        <w:t>As of December 31, 2022</w:t>
      </w:r>
      <w:r>
        <w:rPr>
          <w:sz w:val="20"/>
          <w:szCs w:val="20"/>
          <w:color w:val="auto"/>
        </w:rPr>
        <w:tab/>
      </w:r>
      <w:r>
        <w:rPr>
          <w:rFonts w:ascii="Times New Roman" w:cs="Times New Roman" w:eastAsia="Times New Roman" w:hAnsi="Times New Roman"/>
          <w:sz w:val="16"/>
          <w:szCs w:val="16"/>
          <w:b w:val="1"/>
          <w:bCs w:val="1"/>
          <w:color w:val="auto"/>
        </w:rPr>
        <w:t>As of December 31, 2021 Rate of interest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6040" w:type="dxa"/>
            <w:vAlign w:val="bottom"/>
            <w:gridSpan w:val="5"/>
          </w:tcPr>
          <w:p>
            <w:pPr>
              <w:ind w:left="20"/>
              <w:spacing w:after="0" w:line="143" w:lineRule="exact"/>
              <w:rPr>
                <w:sz w:val="20"/>
                <w:szCs w:val="20"/>
                <w:color w:val="auto"/>
              </w:rPr>
            </w:pPr>
            <w:r>
              <w:rPr>
                <w:rFonts w:ascii="Times New Roman" w:cs="Times New Roman" w:eastAsia="Times New Roman" w:hAnsi="Times New Roman"/>
                <w:sz w:val="16"/>
                <w:szCs w:val="16"/>
                <w:b w:val="1"/>
                <w:bCs w:val="1"/>
                <w:i w:val="1"/>
                <w:iCs w:val="1"/>
                <w:color w:val="auto"/>
              </w:rPr>
              <w:t>Credit facilities</w:t>
            </w: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(i)</w:t>
            </w:r>
          </w:p>
        </w:tc>
        <w:tc>
          <w:tcPr>
            <w:tcW w:w="20" w:type="dxa"/>
            <w:vAlign w:val="bottom"/>
            <w:shd w:val="clear" w:color="auto" w:fill="CCECFF"/>
          </w:tcPr>
          <w:p>
            <w:pPr>
              <w:spacing w:after="0"/>
              <w:rPr>
                <w:sz w:val="17"/>
                <w:szCs w:val="17"/>
                <w:color w:val="auto"/>
              </w:rPr>
            </w:pPr>
          </w:p>
        </w:tc>
        <w:tc>
          <w:tcPr>
            <w:tcW w:w="6020" w:type="dxa"/>
            <w:vAlign w:val="bottom"/>
            <w:gridSpan w:val="4"/>
            <w:shd w:val="clear" w:color="auto" w:fill="CCECFF"/>
          </w:tcPr>
          <w:p>
            <w:pPr>
              <w:ind w:left="40"/>
              <w:spacing w:after="0"/>
              <w:rPr>
                <w:sz w:val="20"/>
                <w:szCs w:val="20"/>
                <w:color w:val="auto"/>
              </w:rPr>
            </w:pPr>
            <w:r>
              <w:rPr>
                <w:rFonts w:ascii="Times New Roman" w:cs="Times New Roman" w:eastAsia="Times New Roman" w:hAnsi="Times New Roman"/>
                <w:sz w:val="17"/>
                <w:szCs w:val="17"/>
                <w:color w:val="auto"/>
              </w:rPr>
              <w:t>Issued in September 2017 fully repaid in August 2022 (the “2017 credit facility”)</w:t>
            </w:r>
          </w:p>
        </w:tc>
        <w:tc>
          <w:tcPr>
            <w:tcW w:w="640" w:type="dxa"/>
            <w:vAlign w:val="bottom"/>
            <w:gridSpan w:val="2"/>
            <w:shd w:val="clear" w:color="auto" w:fill="CCECFF"/>
          </w:tcPr>
          <w:p>
            <w:pPr>
              <w:jc w:val="right"/>
              <w:ind w:right="506"/>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gridSpan w:val="3"/>
            <w:shd w:val="clear" w:color="auto" w:fill="CCECFF"/>
          </w:tcPr>
          <w:p>
            <w:pPr>
              <w:jc w:val="right"/>
              <w:ind w:right="477"/>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106,047</w:t>
            </w:r>
          </w:p>
        </w:tc>
        <w:tc>
          <w:tcPr>
            <w:tcW w:w="2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(ii)</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January 2020 fully repaid in August 2022 (the “2020 credit facility”)</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32,480</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20" w:type="dxa"/>
            <w:vAlign w:val="bottom"/>
            <w:shd w:val="clear" w:color="auto" w:fill="CCECFF"/>
          </w:tcPr>
          <w:p>
            <w:pPr>
              <w:spacing w:after="0"/>
              <w:rPr>
                <w:sz w:val="17"/>
                <w:szCs w:val="17"/>
                <w:color w:val="auto"/>
              </w:rPr>
            </w:pPr>
          </w:p>
        </w:tc>
        <w:tc>
          <w:tcPr>
            <w:tcW w:w="6020" w:type="dxa"/>
            <w:vAlign w:val="bottom"/>
            <w:gridSpan w:val="4"/>
            <w:shd w:val="clear" w:color="auto" w:fill="CCECFF"/>
          </w:tcPr>
          <w:p>
            <w:pPr>
              <w:ind w:left="40"/>
              <w:spacing w:after="0"/>
              <w:rPr>
                <w:sz w:val="20"/>
                <w:szCs w:val="20"/>
                <w:color w:val="auto"/>
              </w:rPr>
            </w:pPr>
            <w:r>
              <w:rPr>
                <w:rFonts w:ascii="Times New Roman" w:cs="Times New Roman" w:eastAsia="Times New Roman" w:hAnsi="Times New Roman"/>
                <w:sz w:val="17"/>
                <w:szCs w:val="17"/>
                <w:color w:val="auto"/>
              </w:rPr>
              <w:t>Issued in January 2021 maturing in February 2026 (the “CMTC Seller’s Credit”)</w:t>
            </w:r>
          </w:p>
        </w:tc>
        <w:tc>
          <w:tcPr>
            <w:tcW w:w="2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1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7"/>
                <w:szCs w:val="17"/>
                <w:color w:val="auto"/>
              </w:rPr>
              <w:t>6,000</w:t>
            </w:r>
          </w:p>
        </w:tc>
        <w:tc>
          <w:tcPr>
            <w:tcW w:w="640" w:type="dxa"/>
            <w:vAlign w:val="bottom"/>
            <w:shd w:val="clear" w:color="auto" w:fill="CCECFF"/>
          </w:tcPr>
          <w:p>
            <w:pPr>
              <w:spacing w:after="0"/>
              <w:rPr>
                <w:sz w:val="17"/>
                <w:szCs w:val="17"/>
                <w:color w:val="auto"/>
              </w:rPr>
            </w:pPr>
          </w:p>
        </w:tc>
        <w:tc>
          <w:tcPr>
            <w:tcW w:w="12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6,000</w:t>
            </w:r>
          </w:p>
        </w:tc>
        <w:tc>
          <w:tcPr>
            <w:tcW w:w="2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(iv)</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August 2021 fully repaid in July 2022 (the “CGC Seller’s Credit”)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200"/>
        </w:trPr>
        <w:tc>
          <w:tcPr>
            <w:tcW w:w="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(v)</w:t>
            </w:r>
          </w:p>
        </w:tc>
        <w:tc>
          <w:tcPr>
            <w:tcW w:w="20" w:type="dxa"/>
            <w:vAlign w:val="bottom"/>
            <w:shd w:val="clear" w:color="auto" w:fill="CCECFF"/>
          </w:tcPr>
          <w:p>
            <w:pPr>
              <w:spacing w:after="0"/>
              <w:rPr>
                <w:sz w:val="17"/>
                <w:szCs w:val="17"/>
                <w:color w:val="auto"/>
              </w:rPr>
            </w:pPr>
          </w:p>
        </w:tc>
        <w:tc>
          <w:tcPr>
            <w:tcW w:w="6020" w:type="dxa"/>
            <w:vAlign w:val="bottom"/>
            <w:gridSpan w:val="4"/>
            <w:shd w:val="clear" w:color="auto" w:fill="CCECFF"/>
          </w:tcPr>
          <w:p>
            <w:pPr>
              <w:ind w:left="40"/>
              <w:spacing w:after="0"/>
              <w:rPr>
                <w:sz w:val="20"/>
                <w:szCs w:val="20"/>
                <w:color w:val="auto"/>
              </w:rPr>
            </w:pPr>
            <w:r>
              <w:rPr>
                <w:rFonts w:ascii="Times New Roman" w:cs="Times New Roman" w:eastAsia="Times New Roman" w:hAnsi="Times New Roman"/>
                <w:sz w:val="17"/>
                <w:szCs w:val="17"/>
                <w:color w:val="auto"/>
              </w:rPr>
              <w:t>Issued in August 2021 fully repaid in July 2022 (the “CGC Seller’s Credit”)</w:t>
            </w:r>
          </w:p>
        </w:tc>
        <w:tc>
          <w:tcPr>
            <w:tcW w:w="2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1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CFF"/>
          </w:tcPr>
          <w:p>
            <w:pPr>
              <w:spacing w:after="0"/>
              <w:rPr>
                <w:sz w:val="17"/>
                <w:szCs w:val="17"/>
                <w:color w:val="auto"/>
              </w:rPr>
            </w:pPr>
          </w:p>
        </w:tc>
        <w:tc>
          <w:tcPr>
            <w:tcW w:w="12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c>
          <w:tcPr>
            <w:tcW w:w="2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200"/>
        </w:trPr>
        <w:tc>
          <w:tcPr>
            <w:tcW w:w="6440" w:type="dxa"/>
            <w:vAlign w:val="bottom"/>
            <w:gridSpan w:val="6"/>
          </w:tcPr>
          <w:p>
            <w:pPr>
              <w:ind w:left="100"/>
              <w:spacing w:after="0"/>
              <w:rPr>
                <w:sz w:val="20"/>
                <w:szCs w:val="20"/>
                <w:color w:val="auto"/>
              </w:rPr>
            </w:pPr>
            <w:r>
              <w:rPr>
                <w:rFonts w:ascii="Times New Roman" w:cs="Times New Roman" w:eastAsia="Times New Roman" w:hAnsi="Times New Roman"/>
                <w:sz w:val="17"/>
                <w:szCs w:val="17"/>
                <w:color w:val="auto"/>
              </w:rPr>
              <w:t>(vi)  Assumed in December 2021 maturing in December 2027 (the “2021 credit facility”)</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110,827</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120,566</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146"/>
        </w:trPr>
        <w:tc>
          <w:tcPr>
            <w:tcW w:w="4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384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center"/>
              <w:spacing w:after="0" w:line="146" w:lineRule="exact"/>
              <w:rPr>
                <w:sz w:val="20"/>
                <w:szCs w:val="20"/>
                <w:color w:val="auto"/>
              </w:rPr>
            </w:pPr>
            <w:r>
              <w:rPr>
                <w:rFonts w:ascii="Times New Roman" w:cs="Times New Roman" w:eastAsia="Times New Roman" w:hAnsi="Times New Roman"/>
                <w:sz w:val="16"/>
                <w:szCs w:val="16"/>
                <w:color w:val="auto"/>
              </w:rPr>
              <w:t>Margin +</w:t>
            </w:r>
          </w:p>
        </w:tc>
        <w:tc>
          <w:tcPr>
            <w:tcW w:w="0" w:type="dxa"/>
            <w:vAlign w:val="bottom"/>
          </w:tcPr>
          <w:p>
            <w:pPr>
              <w:spacing w:after="0"/>
              <w:rPr>
                <w:sz w:val="1"/>
                <w:szCs w:val="1"/>
                <w:color w:val="auto"/>
              </w:rPr>
            </w:pPr>
          </w:p>
        </w:tc>
      </w:tr>
      <w:tr>
        <w:trPr>
          <w:trHeight w:val="175"/>
        </w:trPr>
        <w:tc>
          <w:tcPr>
            <w:tcW w:w="4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(vii)</w:t>
            </w:r>
          </w:p>
        </w:tc>
        <w:tc>
          <w:tcPr>
            <w:tcW w:w="20" w:type="dxa"/>
            <w:vAlign w:val="bottom"/>
            <w:shd w:val="clear" w:color="auto" w:fill="CCECFF"/>
          </w:tcPr>
          <w:p>
            <w:pPr>
              <w:spacing w:after="0"/>
              <w:rPr>
                <w:sz w:val="15"/>
                <w:szCs w:val="15"/>
                <w:color w:val="auto"/>
              </w:rPr>
            </w:pPr>
          </w:p>
        </w:tc>
        <w:tc>
          <w:tcPr>
            <w:tcW w:w="6020" w:type="dxa"/>
            <w:vAlign w:val="bottom"/>
            <w:gridSpan w:val="4"/>
            <w:vMerge w:val="restart"/>
            <w:shd w:val="clear" w:color="auto" w:fill="CCECFF"/>
          </w:tcPr>
          <w:p>
            <w:pPr>
              <w:ind w:left="40"/>
              <w:spacing w:after="0"/>
              <w:rPr>
                <w:sz w:val="20"/>
                <w:szCs w:val="20"/>
                <w:color w:val="auto"/>
              </w:rPr>
            </w:pPr>
            <w:r>
              <w:rPr>
                <w:rFonts w:ascii="Times New Roman" w:cs="Times New Roman" w:eastAsia="Times New Roman" w:hAnsi="Times New Roman"/>
                <w:sz w:val="17"/>
                <w:szCs w:val="17"/>
                <w:color w:val="auto"/>
              </w:rPr>
              <w:t>Issued in October 2022 maturing in October 2028 (the “2022 credit facility”)</w:t>
            </w:r>
          </w:p>
        </w:tc>
        <w:tc>
          <w:tcPr>
            <w:tcW w:w="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126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7"/>
                <w:szCs w:val="17"/>
                <w:color w:val="auto"/>
              </w:rPr>
              <w:t>105,000</w:t>
            </w:r>
          </w:p>
        </w:tc>
        <w:tc>
          <w:tcPr>
            <w:tcW w:w="6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Secured</w:t>
            </w:r>
          </w:p>
        </w:tc>
        <w:tc>
          <w:tcPr>
            <w:tcW w:w="0" w:type="dxa"/>
            <w:vAlign w:val="bottom"/>
          </w:tcPr>
          <w:p>
            <w:pPr>
              <w:spacing w:after="0"/>
              <w:rPr>
                <w:sz w:val="1"/>
                <w:szCs w:val="1"/>
                <w:color w:val="auto"/>
              </w:rPr>
            </w:pPr>
          </w:p>
        </w:tc>
      </w:tr>
      <w:tr>
        <w:trPr>
          <w:trHeight w:val="175"/>
        </w:trPr>
        <w:tc>
          <w:tcPr>
            <w:tcW w:w="400" w:type="dxa"/>
            <w:vAlign w:val="bottom"/>
            <w:vMerge w:val="continue"/>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6020" w:type="dxa"/>
            <w:vAlign w:val="bottom"/>
            <w:gridSpan w:val="4"/>
            <w:vMerge w:val="continue"/>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1260" w:type="dxa"/>
            <w:vAlign w:val="bottom"/>
            <w:gridSpan w:val="2"/>
            <w:vMerge w:val="continue"/>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00" w:type="dxa"/>
            <w:vAlign w:val="bottom"/>
            <w:gridSpan w:val="2"/>
            <w:vMerge w:val="continue"/>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Overnight</w:t>
            </w:r>
          </w:p>
        </w:tc>
        <w:tc>
          <w:tcPr>
            <w:tcW w:w="0" w:type="dxa"/>
            <w:vAlign w:val="bottom"/>
          </w:tcPr>
          <w:p>
            <w:pPr>
              <w:spacing w:after="0"/>
              <w:rPr>
                <w:sz w:val="1"/>
                <w:szCs w:val="1"/>
                <w:color w:val="auto"/>
              </w:rPr>
            </w:pPr>
          </w:p>
        </w:tc>
      </w:tr>
      <w:tr>
        <w:trPr>
          <w:trHeight w:val="175"/>
        </w:trPr>
        <w:tc>
          <w:tcPr>
            <w:tcW w:w="40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384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Financing Rate</w:t>
            </w:r>
          </w:p>
        </w:tc>
        <w:tc>
          <w:tcPr>
            <w:tcW w:w="0" w:type="dxa"/>
            <w:vAlign w:val="bottom"/>
          </w:tcPr>
          <w:p>
            <w:pPr>
              <w:spacing w:after="0"/>
              <w:rPr>
                <w:sz w:val="1"/>
                <w:szCs w:val="1"/>
                <w:color w:val="auto"/>
              </w:rPr>
            </w:pPr>
          </w:p>
        </w:tc>
      </w:tr>
      <w:tr>
        <w:trPr>
          <w:trHeight w:val="192"/>
        </w:trPr>
        <w:tc>
          <w:tcPr>
            <w:tcW w:w="40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38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122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64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8"/>
              </w:rPr>
              <w:t>(“SOFR”)</w:t>
            </w:r>
          </w:p>
        </w:tc>
        <w:tc>
          <w:tcPr>
            <w:tcW w:w="0" w:type="dxa"/>
            <w:vAlign w:val="bottom"/>
          </w:tcPr>
          <w:p>
            <w:pPr>
              <w:spacing w:after="0"/>
              <w:rPr>
                <w:sz w:val="1"/>
                <w:szCs w:val="1"/>
                <w:color w:val="auto"/>
              </w:rPr>
            </w:pPr>
          </w:p>
        </w:tc>
      </w:tr>
      <w:tr>
        <w:trPr>
          <w:trHeight w:val="163"/>
        </w:trPr>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gridSpan w:val="4"/>
          </w:tcPr>
          <w:p>
            <w:pPr>
              <w:spacing w:after="0" w:line="163" w:lineRule="exact"/>
              <w:rPr>
                <w:sz w:val="20"/>
                <w:szCs w:val="20"/>
                <w:color w:val="auto"/>
              </w:rPr>
            </w:pPr>
            <w:r>
              <w:rPr>
                <w:rFonts w:ascii="Times New Roman" w:cs="Times New Roman" w:eastAsia="Times New Roman" w:hAnsi="Times New Roman"/>
                <w:sz w:val="17"/>
                <w:szCs w:val="17"/>
                <w:b w:val="1"/>
                <w:bCs w:val="1"/>
                <w:i w:val="1"/>
                <w:iCs w:val="1"/>
                <w:color w:val="auto"/>
              </w:rPr>
              <w:t>Sale and lease back agreements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(viii)</w:t>
            </w:r>
          </w:p>
        </w:tc>
        <w:tc>
          <w:tcPr>
            <w:tcW w:w="20" w:type="dxa"/>
            <w:vAlign w:val="bottom"/>
            <w:shd w:val="clear" w:color="auto" w:fill="CCEEFF"/>
          </w:tcPr>
          <w:p>
            <w:pPr>
              <w:spacing w:after="0"/>
              <w:rPr>
                <w:sz w:val="18"/>
                <w:szCs w:val="18"/>
                <w:color w:val="auto"/>
              </w:rPr>
            </w:pPr>
          </w:p>
        </w:tc>
        <w:tc>
          <w:tcPr>
            <w:tcW w:w="6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Issued in January 2020 maturing in January 2025 (the “2020 CMBFL”)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29,700</w:t>
            </w:r>
          </w:p>
        </w:tc>
        <w:tc>
          <w:tcPr>
            <w:tcW w:w="6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32,900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(ix)</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January 2020 maturing in January 2025 (the “2020 CMBFL”)</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29,700</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32,900</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20" w:type="dxa"/>
            <w:vAlign w:val="bottom"/>
            <w:shd w:val="clear" w:color="auto" w:fill="CCEEFF"/>
          </w:tcPr>
          <w:p>
            <w:pPr>
              <w:spacing w:after="0"/>
              <w:rPr>
                <w:sz w:val="17"/>
                <w:szCs w:val="17"/>
                <w:color w:val="auto"/>
              </w:rPr>
            </w:pPr>
          </w:p>
        </w:tc>
        <w:tc>
          <w:tcPr>
            <w:tcW w:w="6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Issued in May 2020 maturing in May 2027 (the “ICBCFL”)</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41,996</w:t>
            </w:r>
          </w:p>
        </w:tc>
        <w:tc>
          <w:tcPr>
            <w:tcW w:w="6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45,660</w:t>
            </w:r>
          </w:p>
        </w:tc>
        <w:tc>
          <w:tcPr>
            <w:tcW w:w="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(xi)</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January 2021 maturing in February 2026 (the “2021 CMBFL - Panamax”)</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8,083</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9,184</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(xii)</w:t>
            </w:r>
          </w:p>
        </w:tc>
        <w:tc>
          <w:tcPr>
            <w:tcW w:w="20" w:type="dxa"/>
            <w:vAlign w:val="bottom"/>
            <w:shd w:val="clear" w:color="auto" w:fill="CCEEFF"/>
          </w:tcPr>
          <w:p>
            <w:pPr>
              <w:spacing w:after="0"/>
              <w:rPr>
                <w:sz w:val="17"/>
                <w:szCs w:val="17"/>
                <w:color w:val="auto"/>
              </w:rPr>
            </w:pPr>
          </w:p>
        </w:tc>
        <w:tc>
          <w:tcPr>
            <w:tcW w:w="6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Issued in January 2021 maturing in February 2026 (the “2021 CMBFL - Panamax”)</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8,083</w:t>
            </w:r>
          </w:p>
        </w:tc>
        <w:tc>
          <w:tcPr>
            <w:tcW w:w="6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9,184</w:t>
            </w:r>
          </w:p>
        </w:tc>
        <w:tc>
          <w:tcPr>
            <w:tcW w:w="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(xiii)</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January 2021 maturing in February 2026 (the “2021 CMBFL - Panamax”)</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8,083</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9,184</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64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(xiv) Assumed in September 2021 maturing in October 2027 (the “2021 Bocomm”)</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138,888</w:t>
            </w:r>
          </w:p>
        </w:tc>
        <w:tc>
          <w:tcPr>
            <w:tcW w:w="6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144,744</w:t>
            </w:r>
          </w:p>
        </w:tc>
        <w:tc>
          <w:tcPr>
            <w:tcW w:w="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6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(xv) Assumed in September 2021 maturing in May 2028 (the “2021 Bocomm”)</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132,217</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151,299</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64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(xvi) Assumed in November 2021 maturing in August 2028 (the “2021 CMBFL - LNG/C”)</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139,183</w:t>
            </w:r>
          </w:p>
        </w:tc>
        <w:tc>
          <w:tcPr>
            <w:tcW w:w="6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146,315</w:t>
            </w:r>
          </w:p>
        </w:tc>
        <w:tc>
          <w:tcPr>
            <w:tcW w:w="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6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w w:val="98"/>
              </w:rPr>
              <w:t>(xvii) Assumed in November 2021 maturing in September 2028 (the “2021 CMBFL - LNG/C”)</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138,072</w:t>
            </w:r>
          </w:p>
        </w:tc>
        <w:tc>
          <w:tcPr>
            <w:tcW w:w="6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147,493</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Margin + Libor</w:t>
            </w:r>
          </w:p>
        </w:tc>
        <w:tc>
          <w:tcPr>
            <w:tcW w:w="0" w:type="dxa"/>
            <w:vAlign w:val="bottom"/>
          </w:tcPr>
          <w:p>
            <w:pPr>
              <w:spacing w:after="0"/>
              <w:rPr>
                <w:sz w:val="1"/>
                <w:szCs w:val="1"/>
                <w:color w:val="auto"/>
              </w:rPr>
            </w:pPr>
          </w:p>
        </w:tc>
      </w:tr>
      <w:tr>
        <w:trPr>
          <w:trHeight w:val="200"/>
        </w:trPr>
        <w:tc>
          <w:tcPr>
            <w:tcW w:w="6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(xviii) Assumed in November 2021 maturing in July 2036 (the “2021 Shin Doun”)</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136,778</w:t>
            </w:r>
          </w:p>
        </w:tc>
        <w:tc>
          <w:tcPr>
            <w:tcW w:w="6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142,609</w:t>
            </w:r>
          </w:p>
        </w:tc>
        <w:tc>
          <w:tcPr>
            <w:tcW w:w="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163"/>
        </w:trPr>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gridSpan w:val="4"/>
          </w:tcPr>
          <w:p>
            <w:pPr>
              <w:spacing w:after="0" w:line="163" w:lineRule="exact"/>
              <w:rPr>
                <w:sz w:val="20"/>
                <w:szCs w:val="20"/>
                <w:color w:val="auto"/>
              </w:rPr>
            </w:pPr>
            <w:r>
              <w:rPr>
                <w:rFonts w:ascii="Times New Roman" w:cs="Times New Roman" w:eastAsia="Times New Roman" w:hAnsi="Times New Roman"/>
                <w:sz w:val="17"/>
                <w:szCs w:val="17"/>
                <w:b w:val="1"/>
                <w:bCs w:val="1"/>
                <w:i w:val="1"/>
                <w:iCs w:val="1"/>
                <w:color w:val="auto"/>
              </w:rPr>
              <w:t>Unsecured Bonds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(xix)</w:t>
            </w:r>
          </w:p>
        </w:tc>
        <w:tc>
          <w:tcPr>
            <w:tcW w:w="20" w:type="dxa"/>
            <w:vAlign w:val="bottom"/>
            <w:shd w:val="clear" w:color="auto" w:fill="CCEEFF"/>
          </w:tcPr>
          <w:p>
            <w:pPr>
              <w:spacing w:after="0"/>
              <w:rPr>
                <w:sz w:val="18"/>
                <w:szCs w:val="18"/>
                <w:color w:val="auto"/>
              </w:rPr>
            </w:pPr>
          </w:p>
        </w:tc>
        <w:tc>
          <w:tcPr>
            <w:tcW w:w="6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Issued in October 2021 maturing in October 2026 (the “2021 Bonds”)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159,966</w:t>
            </w:r>
          </w:p>
        </w:tc>
        <w:tc>
          <w:tcPr>
            <w:tcW w:w="6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170,862</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200"/>
        </w:trPr>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(xx)</w:t>
            </w:r>
          </w:p>
        </w:tc>
        <w:tc>
          <w:tcPr>
            <w:tcW w:w="20" w:type="dxa"/>
            <w:vAlign w:val="bottom"/>
          </w:tcPr>
          <w:p>
            <w:pPr>
              <w:spacing w:after="0"/>
              <w:rPr>
                <w:sz w:val="17"/>
                <w:szCs w:val="17"/>
                <w:color w:val="auto"/>
              </w:rPr>
            </w:pP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Issued in July 2022 maturing in July 2029 (the “2022 Bonds”)</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106,644</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Fixed rate</w:t>
            </w:r>
          </w:p>
        </w:tc>
        <w:tc>
          <w:tcPr>
            <w:tcW w:w="0" w:type="dxa"/>
            <w:vAlign w:val="bottom"/>
          </w:tcPr>
          <w:p>
            <w:pPr>
              <w:spacing w:after="0"/>
              <w:rPr>
                <w:sz w:val="1"/>
                <w:szCs w:val="1"/>
                <w:color w:val="auto"/>
              </w:rPr>
            </w:pPr>
          </w:p>
        </w:tc>
      </w:tr>
      <w:tr>
        <w:trPr>
          <w:trHeight w:val="193"/>
        </w:trPr>
        <w:tc>
          <w:tcPr>
            <w:tcW w:w="400" w:type="dxa"/>
            <w:vAlign w:val="bottom"/>
            <w:tcBorders>
              <w:top w:val="single" w:sz="8" w:color="CCEEFF"/>
            </w:tcBorders>
            <w:shd w:val="clear" w:color="auto" w:fill="CCEEFF"/>
          </w:tcPr>
          <w:p>
            <w:pPr>
              <w:spacing w:after="0"/>
              <w:rPr>
                <w:sz w:val="16"/>
                <w:szCs w:val="16"/>
                <w:color w:val="auto"/>
              </w:rPr>
            </w:pPr>
          </w:p>
        </w:tc>
        <w:tc>
          <w:tcPr>
            <w:tcW w:w="6040" w:type="dxa"/>
            <w:vAlign w:val="bottom"/>
            <w:tcBorders>
              <w:top w:val="single" w:sz="8" w:color="CCEEFF"/>
            </w:tcBorders>
            <w:gridSpan w:val="5"/>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Total long-term debt</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1,299,220</w:t>
            </w: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1,317,427</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5"/>
          </w:tcPr>
          <w:p>
            <w:pPr>
              <w:ind w:left="20"/>
              <w:spacing w:after="0" w:line="193" w:lineRule="exact"/>
              <w:rPr>
                <w:sz w:val="20"/>
                <w:szCs w:val="20"/>
                <w:color w:val="auto"/>
              </w:rPr>
            </w:pPr>
            <w:r>
              <w:rPr>
                <w:rFonts w:ascii="Times New Roman" w:cs="Times New Roman" w:eastAsia="Times New Roman" w:hAnsi="Times New Roman"/>
                <w:sz w:val="17"/>
                <w:szCs w:val="17"/>
                <w:color w:val="auto"/>
              </w:rPr>
              <w:t>Less: Deferred loan and financing arrangements issuance costs</w:t>
            </w: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10,142</w:t>
            </w: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8,453</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shd w:val="clear" w:color="auto" w:fill="CCEEFF"/>
          </w:tcPr>
          <w:p>
            <w:pPr>
              <w:spacing w:after="0"/>
              <w:rPr>
                <w:sz w:val="16"/>
                <w:szCs w:val="16"/>
                <w:color w:val="auto"/>
              </w:rPr>
            </w:pPr>
          </w:p>
        </w:tc>
        <w:tc>
          <w:tcPr>
            <w:tcW w:w="6040" w:type="dxa"/>
            <w:vAlign w:val="bottom"/>
            <w:gridSpan w:val="5"/>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Total long-term debt, net</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1,289,078</w:t>
            </w:r>
          </w:p>
        </w:tc>
        <w:tc>
          <w:tcPr>
            <w:tcW w:w="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1,308,974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5"/>
          </w:tcPr>
          <w:p>
            <w:pPr>
              <w:ind w:left="20"/>
              <w:spacing w:after="0" w:line="193" w:lineRule="exact"/>
              <w:rPr>
                <w:sz w:val="20"/>
                <w:szCs w:val="20"/>
                <w:color w:val="auto"/>
              </w:rPr>
            </w:pPr>
            <w:r>
              <w:rPr>
                <w:rFonts w:ascii="Times New Roman" w:cs="Times New Roman" w:eastAsia="Times New Roman" w:hAnsi="Times New Roman"/>
                <w:sz w:val="17"/>
                <w:szCs w:val="17"/>
                <w:color w:val="auto"/>
              </w:rPr>
              <w:t>Less: Current portion of long-term debt</w:t>
            </w: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75,438</w:t>
            </w: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100,144</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shd w:val="clear" w:color="auto" w:fill="CCEEFF"/>
          </w:tcPr>
          <w:p>
            <w:pPr>
              <w:spacing w:after="0"/>
              <w:rPr>
                <w:sz w:val="16"/>
                <w:szCs w:val="16"/>
                <w:color w:val="auto"/>
              </w:rPr>
            </w:pPr>
          </w:p>
        </w:tc>
        <w:tc>
          <w:tcPr>
            <w:tcW w:w="6040" w:type="dxa"/>
            <w:vAlign w:val="bottom"/>
            <w:gridSpan w:val="5"/>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Add: Current portion of deferred loan and financing arrangements issuance costs</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2,225</w:t>
            </w:r>
          </w:p>
        </w:tc>
        <w:tc>
          <w:tcPr>
            <w:tcW w:w="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2,265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04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Long-term debt, net</w:t>
            </w:r>
          </w:p>
        </w:tc>
        <w:tc>
          <w:tcPr>
            <w:tcW w:w="20" w:type="dxa"/>
            <w:vAlign w:val="bottom"/>
          </w:tcPr>
          <w:p>
            <w:pPr>
              <w:spacing w:after="0"/>
              <w:rPr>
                <w:sz w:val="16"/>
                <w:szCs w:val="16"/>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1,215,865</w:t>
            </w:r>
          </w:p>
        </w:tc>
        <w:tc>
          <w:tcPr>
            <w:tcW w:w="40" w:type="dxa"/>
            <w:vAlign w:val="bottom"/>
          </w:tcPr>
          <w:p>
            <w:pPr>
              <w:spacing w:after="0"/>
              <w:rPr>
                <w:sz w:val="16"/>
                <w:szCs w:val="16"/>
                <w:color w:val="auto"/>
              </w:rPr>
            </w:pPr>
          </w:p>
        </w:tc>
        <w:tc>
          <w:tcPr>
            <w:tcW w:w="64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1,211,095</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40" w:type="dxa"/>
            <w:vAlign w:val="bottom"/>
          </w:tcPr>
          <w:p>
            <w:pPr>
              <w:ind w:left="2860"/>
              <w:spacing w:after="0"/>
              <w:rPr>
                <w:sz w:val="20"/>
                <w:szCs w:val="20"/>
                <w:color w:val="auto"/>
              </w:rPr>
            </w:pPr>
            <w:r>
              <w:rPr>
                <w:rFonts w:ascii="Times New Roman" w:cs="Times New Roman" w:eastAsia="Times New Roman" w:hAnsi="Times New Roman"/>
                <w:sz w:val="17"/>
                <w:szCs w:val="17"/>
                <w:color w:val="auto"/>
              </w:rPr>
              <w:t>F- 19</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219"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Long-Term Debt –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credit facilities for the years 2022 and 2021 are as follows:</w:t>
      </w:r>
    </w:p>
    <w:p>
      <w:pPr>
        <w:spacing w:after="0" w:line="201" w:lineRule="exact"/>
        <w:rPr>
          <w:sz w:val="20"/>
          <w:szCs w:val="20"/>
          <w:color w:val="auto"/>
        </w:rPr>
      </w:pPr>
    </w:p>
    <w:p>
      <w:pPr>
        <w:ind w:left="600" w:hanging="299"/>
        <w:spacing w:after="0"/>
        <w:tabs>
          <w:tab w:leader="none" w:pos="6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For the year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Sale and lease back agreement”</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23, 2022 the Partnership entered into a new sale and lease back agreement of up to $108,000, for the purpose of partially financing the acquisition of the shares of the company owning the M/V Itajai Express (Notes 5, 16). The full amount of the sale and lease back agreement was drawn on January 6, 2023 and has a duration of eight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credit facility” (vii)</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6, 2022 the Partnership entered into a new credit facility of up to $105,000, for the purpose of partially financing the acquisition of the shares of the company owning the M/V Manzanillo Express (Note 5). The full amount of the facility was drawn on October 11, 2022 and has a duration of six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“2017 credit facility” (i)</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August 10, 2022 the Partnership fully repaid the remaining balance of the 2017 credit facility (i), amounting to $65,822. On July 28, and July 6, 2022 the Partnership repaid part of the 2017 credit facility, amounting to $14,228 and $13,789 as a result of the sale of the M/V Agamemnon and the M/V Archimidis respectively (Note 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“2020 credit facility” (ii)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5, 2022 the Partnership fully repaid the remaining balance of the 2020 credit facility, amounting to $29,900.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“CGC Seller’s Credit” (iv) and (v)</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8, 2022 the Partnership fully repaid the amount of $10,000 in line with the two CGC Seller’s Credits that the Partnership entered into on August 31, 2021 in order to defer $5,000 of the purchase price of each of the LNG/C Aristos I and the LNG/C Aristarchos, acquired on September 3, 2021 (Notes 4, 5). The CGC Seller’s Credits bared no interest and were payable within one year from the vessel’s delivery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Bonds” (xx)</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22, 2022 the Partnership, through its wholly owned subsidiary, CPLP PLC (the “Issuer”), issued unsecured bonds on the Athens Stock Exchange of an amount of €100,000,000 or $106,664 (translated as of December 31, 2022). The 2022 Bonds are guaranteed by the Partnership and have a seven year duration and pay a fixed coupon of 4.40%, payable semi-annually. The settlement occurred on July 26, 2022.</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2022 Bonds contain requirements such as that the ratio of EBITDA to net interest expenses be no less than 2:1, a restricted cash requirement and that the ratio of net total indebtedness to the total assets of the Partnership adjusted for the market value of the fleet not exceed 0.75:1. In addition, the 2022 Bonds require that:</w:t>
      </w:r>
    </w:p>
    <w:p>
      <w:pPr>
        <w:spacing w:after="0" w:line="158" w:lineRule="exact"/>
        <w:rPr>
          <w:sz w:val="20"/>
          <w:szCs w:val="20"/>
          <w:color w:val="auto"/>
        </w:rPr>
      </w:pPr>
    </w:p>
    <w:p>
      <w:pPr>
        <w:ind w:left="340" w:hanging="114"/>
        <w:spacing w:after="0"/>
        <w:tabs>
          <w:tab w:leader="none" w:pos="3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maintain a pledged Debt Service Reserve Account (“DSRA”) with a minimum balance €100,000;</w:t>
      </w:r>
    </w:p>
    <w:p>
      <w:pPr>
        <w:spacing w:after="0" w:line="21" w:lineRule="exact"/>
        <w:rPr>
          <w:rFonts w:ascii="Times New Roman" w:cs="Times New Roman" w:eastAsia="Times New Roman" w:hAnsi="Times New Roman"/>
          <w:sz w:val="17"/>
          <w:szCs w:val="17"/>
          <w:color w:val="auto"/>
        </w:rPr>
      </w:pPr>
    </w:p>
    <w:p>
      <w:pPr>
        <w:ind w:left="340" w:right="120" w:hanging="114"/>
        <w:spacing w:after="0" w:line="246" w:lineRule="auto"/>
        <w:tabs>
          <w:tab w:leader="none" w:pos="3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deposit to the DSRA 50% of any cash disbursements to unitholders (e.g., dividends) exceeding $20,000 per annum, capped at 1/3 of the par value of the 2022 Bonds outstanding at the time; and</w:t>
      </w:r>
    </w:p>
    <w:p>
      <w:pPr>
        <w:ind w:left="340" w:right="260" w:hanging="114"/>
        <w:spacing w:after="0" w:line="252" w:lineRule="auto"/>
        <w:tabs>
          <w:tab w:leader="none" w:pos="3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Partnership’s Market Value Adjusted Net Assets (“MVAN”) falls below $300,000 then to deposit to the DSRA the difference between the MVAN and the $300,000 (capped to 1/3 of the par value of the 2022 Bonds outstanding).</w:t>
      </w:r>
    </w:p>
    <w:p>
      <w:pPr>
        <w:spacing w:after="0" w:line="275"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F- 20</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ind w:left="160" w:hanging="160"/>
        <w:spacing w:after="0"/>
        <w:tabs>
          <w:tab w:leader="none" w:pos="16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 Continued</w:t>
      </w:r>
    </w:p>
    <w:p>
      <w:pPr>
        <w:spacing w:after="0" w:line="205" w:lineRule="exact"/>
        <w:rPr>
          <w:rFonts w:ascii="Times New Roman" w:cs="Times New Roman" w:eastAsia="Times New Roman" w:hAnsi="Times New Roman"/>
          <w:sz w:val="17"/>
          <w:szCs w:val="17"/>
          <w:b w:val="1"/>
          <w:bCs w:val="1"/>
          <w:color w:val="auto"/>
        </w:rPr>
      </w:pPr>
    </w:p>
    <w:p>
      <w:pPr>
        <w:ind w:right="9400" w:firstLine="301"/>
        <w:spacing w:after="0" w:line="525" w:lineRule="auto"/>
        <w:tabs>
          <w:tab w:leader="none" w:pos="60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 xml:space="preserve">For the year 2021 </w:t>
      </w:r>
      <w:r>
        <w:rPr>
          <w:rFonts w:ascii="Times New Roman" w:cs="Times New Roman" w:eastAsia="Times New Roman" w:hAnsi="Times New Roman"/>
          <w:sz w:val="16"/>
          <w:szCs w:val="16"/>
          <w:b w:val="1"/>
          <w:bCs w:val="1"/>
          <w:i w:val="1"/>
          <w:iCs w:val="1"/>
          <w:color w:val="auto"/>
        </w:rPr>
        <w:t>“2021 credit facility” (vi)</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16, 2021, upon the completion of the acquisition of the LNG/C Aristidis I (Note 5) the Partnership assumed the outstanding balance of $123,001, of the credit facility that the company owning the vessel had entered into with ING Bank N.V., London Branch (“2021 credit facility”). The loan agreement for the LNG/C Aristidis I has a remaining duration, from the date of the vessel’s acquisition from the Partnership, of six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Shin Doun” (xviii)</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November 29, 2021, upon the completion of the acquisition of the LNG/C Adamastos (Note 5) the Partnership assumed the outstanding balance of $143,103, of the sale and leaseback agreement that the company owning the vessel had entered into with a subsidiary of Shin Doun Kisen Co., Ltd. (“Shin Doun”). The lease agreement for the LNG/C Adamastos has a remaining duration, from the date of the vessel’s acquisition from the Partnership, of 14.7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CMBFL - LNG/C” (xvi) and (xvii)</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18, 2021, upon the completion of the acquisition of the LNG/C Attalos and the LNG/C Asklipios (Note 5) the Partnership assumed the outstanding balances of $146,315 and $149,570, respectively, of the two separate sale and leaseback agreements that the companies owning the vessels had entered into with two subsidiaries of CMB Financial Leasing Co., Ltd (“CMBFL”). The lease agreements for the LNG/C Attalos and the LNG/C Asklipios have remaining durations, from the date of the vessels’ acquisition from the Partnership of 6.7 and 6.9 years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Bocomm” (xiv) and (xv) and “CGC Seller’s Credit” (iv) and (v)</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3, 2021, upon the completion of the acquisition of the LNG/C Aristos I and the LNG/C Aristarchos (Note 5) the Partnership assumed the outstanding balances of $148,920 and $155,435, respectively, of the two separate sale and leaseback agreements that the companies owning the vessels had entered into with two subsidiaries of Bank of Communications Financial Leasing Co., Ltd (“Bocomm”). The lease agreements for the LNG/C Aristos I and the LNG/C Aristarchos have a remaining duration from the date of the vessel’s acquisition from the Partnership of 6.1 and 6.7 years respectively. Furthermore, on August 31, 2021 the Partnership entered into two CGC Seller’s Credits (iv) and (v) to defer $5,000 of the purchase price for each vessel (Notes 4, 5). The CGC Seller’s Credits bear no interest and are payable within one year from the vessel’s delivery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CMBFL - Panamax” (xi), (xii) and (xiii) and “CMTC Seller’s Credit” (iii)</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22, 2021, the Partnership entered into three separate sale and lease back agreements with CMBFL for up to $10,010 each in order to partially finance the acquisition of the share of the companies owning the vessels M/V Long Beach Express, M/V Seattle Express and M/V Fos Express (Note 5). Each lease agreement has a duration of five years. Furthermore, on January 27, 2021 the Partnership entered into a Seller’s Credit with CMTC (iii) to defer $6,000 of the purchase price for up to five years from the delivery of the vessels (Notes 4, 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Bonds” (xix)</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October 20, 2021 the Partnership, through its wholly subsidiary, CPLP PLC (the “Issuer”), issued unsecured bonds on the Athens Stock Exchange of an amount of €150,000,000 or $170,862 (translated as of December 31, 2021). The 2021 Bonds are guaranteed by the Partnership and have a five year duration and pay a fixed coupon of 2.65%, payable semi-annually. The settlement occurred on October 22, 2021 and the proceeds were used to partially finance the acquisition of the shares of the companies owning the LNG/C Attalos, the LNG/C Asklipios and the LNG/C Adamastos. The 2021 Bonds contain requirements such as that the ratio of EBITDA to net interest expenses be no less than 2:1, a restricted cash requirement and that the ratio of net total indebtedness to the total assets of the Partnership adjusted for the market value of the fleet not exceed 0.75:1. In addition, the 2021 Bonds require that:</w:t>
      </w:r>
    </w:p>
    <w:p>
      <w:pPr>
        <w:spacing w:after="0" w:line="176" w:lineRule="exact"/>
        <w:rPr>
          <w:sz w:val="20"/>
          <w:szCs w:val="20"/>
          <w:color w:val="auto"/>
        </w:rPr>
      </w:pPr>
    </w:p>
    <w:p>
      <w:pPr>
        <w:ind w:left="340" w:hanging="114"/>
        <w:spacing w:after="0"/>
        <w:tabs>
          <w:tab w:leader="none" w:pos="3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maintain a pledged (DSRA) with a minimum balance €100,000;</w:t>
      </w:r>
    </w:p>
    <w:p>
      <w:pPr>
        <w:spacing w:after="0" w:line="21" w:lineRule="exact"/>
        <w:rPr>
          <w:rFonts w:ascii="Times New Roman" w:cs="Times New Roman" w:eastAsia="Times New Roman" w:hAnsi="Times New Roman"/>
          <w:sz w:val="17"/>
          <w:szCs w:val="17"/>
          <w:color w:val="auto"/>
        </w:rPr>
      </w:pPr>
    </w:p>
    <w:p>
      <w:pPr>
        <w:ind w:left="340" w:right="120" w:hanging="114"/>
        <w:spacing w:after="0" w:line="246" w:lineRule="auto"/>
        <w:tabs>
          <w:tab w:leader="none" w:pos="3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deposit to the DSRA 50% of any cash disbursements to unitholders (e.g., dividends) exceeding $20,000 per annum, capped at 1/3 of the par value of the 2021 Bonds outstanding at the time; and</w:t>
      </w:r>
    </w:p>
    <w:p>
      <w:pPr>
        <w:ind w:left="340" w:right="120" w:hanging="114"/>
        <w:spacing w:after="0" w:line="252" w:lineRule="auto"/>
        <w:tabs>
          <w:tab w:leader="none" w:pos="3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Partnership’s MVAN falls below $300,000 then to deposit to the DSRA the difference between the MVAN and the $300,000 (capped to 1/3 of the par value of the 2021 Bonds outstanding).</w:t>
      </w:r>
    </w:p>
    <w:p>
      <w:pPr>
        <w:spacing w:after="0" w:line="275"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F- 21</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ind w:left="160" w:hanging="160"/>
        <w:spacing w:after="0"/>
        <w:tabs>
          <w:tab w:leader="none" w:pos="16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 Continued</w:t>
      </w:r>
    </w:p>
    <w:p>
      <w:pPr>
        <w:spacing w:after="0" w:line="205" w:lineRule="exact"/>
        <w:rPr>
          <w:rFonts w:ascii="Times New Roman" w:cs="Times New Roman" w:eastAsia="Times New Roman" w:hAnsi="Times New Roman"/>
          <w:sz w:val="17"/>
          <w:szCs w:val="17"/>
          <w:b w:val="1"/>
          <w:bCs w:val="1"/>
          <w:color w:val="auto"/>
        </w:rPr>
      </w:pPr>
    </w:p>
    <w:p>
      <w:pPr>
        <w:ind w:right="8520" w:firstLine="301"/>
        <w:spacing w:after="0" w:line="494" w:lineRule="auto"/>
        <w:tabs>
          <w:tab w:leader="none" w:pos="601"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 xml:space="preserve">For the year 2021 – Continued </w:t>
      </w:r>
      <w:r>
        <w:rPr>
          <w:rFonts w:ascii="Times New Roman" w:cs="Times New Roman" w:eastAsia="Times New Roman" w:hAnsi="Times New Roman"/>
          <w:sz w:val="17"/>
          <w:szCs w:val="17"/>
          <w:b w:val="1"/>
          <w:bCs w:val="1"/>
          <w:i w:val="1"/>
          <w:iCs w:val="1"/>
          <w:color w:val="auto"/>
        </w:rPr>
        <w:t>“ICBCFL” (x)</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May 27, 2020 the Partnership drew down the total amount of $155,350 pursuant to three separate agreements entered into in May 2020 with ICBC Financial Leasing Co., Ltd. (“ICBCFL”), for the sale and lease back of three vessels previously under the 2017 credit facility (the “Re-financing”), namely the M/V Akadimos, the M/V Adonis and the M/V CMA CGM Magdalena, and fully repaid the then outstanding balance relating to these three vessels under the 2017 credit facility amounting to $116,515. The leases have a duration of seven years. Following the sale of the M/V CMA CGM Magdalena and the M/V Adonis, in May and December 2021, respectively, the Partnership fully repaid the amount of $96,205 related to the two of the three ICBCFL agreements.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All the Partnership’s sale and leaseback agreements were classified as financing arrangements since the existence of various purchase options retained by the Partnership commencing from the first-year anniversary and including either an obligation or an option to acquire each vessel at expiration at a predetermined price, precludes the transfer of control over the vessels.</w:t>
      </w:r>
    </w:p>
    <w:p>
      <w:pPr>
        <w:spacing w:after="0" w:line="3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years ended December 31, 2022 and 2021 the Partnership prepaid the amount of $133,739 and $96,205, as a result from the sale of its vessels (Note 5) and the full repayment of 2017 and 2020 credit facilities respectively, and repaid the amount of $85,215 and $49,266, respectively, in line with the amortization schedule of its credit facilities and financing arrangements.</w:t>
      </w:r>
    </w:p>
    <w:p>
      <w:pPr>
        <w:spacing w:after="0" w:line="3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Partnership’s credit facilities and sale and lease back agreements contain customary ship finance covenants, including restrictions on changes in management and ownership of the mortgaged vessels, the incurrence of additional indebtedness and the mortgaging of vessels and requirements such as that the ratio of EBITDA to net interest expenses be no less than 2:1, a minimum cash requirement of $500 per vessel, that the ratio of net total indebtedness to the total assets of the Partnership adjusted for the market value of the fleet not exceed 0.75:1. The Partnership’s credit facilities and financing arrangements also contain a collateral maintenance requirement under which the aggregate fair market value of the collateral vessels should not be less than 125% of the outstanding amounts under the 2022 credit facility and the ICBCFL, 120% of the outstanding amount under the 2020 CMBFL, the 2021 CMBFL-Panamax and the 2021 credit facility, 110% of the outstanding amount under the 2021 CMBFL-LNG/C and 111% of the outstanding amount under the 2021 Bocomm. Also, the vessel-owning companies may pay dividends or make distributions only when no event of default has occurred and the payment of such dividend or distribution has not resulted in a breach of any of the financial covenants. As of December 31, 2022, and 2021 the Partnership was in compliance with all financial covenants.</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Partnership’s credit facilities and sale and lease back agreements include a general assignment of the earnings, insurances and requisition compensation of the respective collateral vessel or vessels. They also require additional security, such as pledge and charge on current accounts and mortgage interest insurance.</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of December 31, 2022, there were $108,000 undrawn under the Partnership’s credit facilities and financing arrangements. The full amount was drawn on January 6, 2023, with the purpose of partially financing the acquisition of the shares of the company owning the M/V Itajai Express (Note 16).</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years ended December 31, 2022, 2021 and 2020, the Partnership recorded interest expense of $52,465, $16,586 and $13,761 respectively, which is included in “Interest expense and finance cost” in the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2022, 2021 and 2020 the weighted average interest on the Partnership’s long-term debt was 4.1%, 2.9% and 3.6%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The required annual payments to be made subsequently to December 31, 2022 are as follows: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1"/>
        </w:trPr>
        <w:tc>
          <w:tcPr>
            <w:tcW w:w="10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b w:val="1"/>
                <w:bCs w:val="1"/>
                <w:color w:val="auto"/>
              </w:rPr>
              <w:t>For the year ending December 31,</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3"/>
        </w:trPr>
        <w:tc>
          <w:tcPr>
            <w:tcW w:w="1002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2023</w:t>
            </w:r>
          </w:p>
        </w:tc>
        <w:tc>
          <w:tcPr>
            <w:tcW w:w="24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75,437</w:t>
            </w: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68,097</w:t>
            </w:r>
          </w:p>
        </w:tc>
      </w:tr>
      <w:tr>
        <w:trPr>
          <w:trHeight w:val="200"/>
        </w:trPr>
        <w:tc>
          <w:tcPr>
            <w:tcW w:w="100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CFF"/>
          </w:tcPr>
          <w:p>
            <w:pPr>
              <w:spacing w:after="0"/>
              <w:rPr>
                <w:sz w:val="17"/>
                <w:szCs w:val="17"/>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107,161</w:t>
            </w: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237,826</w:t>
            </w:r>
          </w:p>
        </w:tc>
      </w:tr>
      <w:tr>
        <w:trPr>
          <w:trHeight w:val="200"/>
        </w:trPr>
        <w:tc>
          <w:tcPr>
            <w:tcW w:w="1002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CFF"/>
          </w:tcPr>
          <w:p>
            <w:pPr>
              <w:spacing w:after="0"/>
              <w:rPr>
                <w:sz w:val="17"/>
                <w:szCs w:val="17"/>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238,752</w:t>
            </w:r>
          </w:p>
        </w:tc>
      </w:tr>
      <w:tr>
        <w:trPr>
          <w:trHeight w:val="200"/>
        </w:trPr>
        <w:tc>
          <w:tcPr>
            <w:tcW w:w="10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571,947</w:t>
            </w:r>
          </w:p>
        </w:tc>
      </w:tr>
      <w:tr>
        <w:trPr>
          <w:trHeight w:val="198"/>
        </w:trPr>
        <w:tc>
          <w:tcPr>
            <w:tcW w:w="10020" w:type="dxa"/>
            <w:vAlign w:val="bottom"/>
            <w:tcBorders>
              <w:bottom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Borders>
              <w:bottom w:val="single" w:sz="8" w:color="auto"/>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1,299,220</w:t>
            </w:r>
          </w:p>
        </w:tc>
      </w:tr>
      <w:tr>
        <w:trPr>
          <w:trHeight w:val="463"/>
        </w:trPr>
        <w:tc>
          <w:tcPr>
            <w:tcW w:w="10020" w:type="dxa"/>
            <w:vAlign w:val="bottom"/>
          </w:tcPr>
          <w:p>
            <w:pPr>
              <w:ind w:left="5460"/>
              <w:spacing w:after="0"/>
              <w:rPr>
                <w:sz w:val="20"/>
                <w:szCs w:val="20"/>
                <w:color w:val="auto"/>
              </w:rPr>
            </w:pPr>
            <w:r>
              <w:rPr>
                <w:rFonts w:ascii="Times New Roman" w:cs="Times New Roman" w:eastAsia="Times New Roman" w:hAnsi="Times New Roman"/>
                <w:sz w:val="17"/>
                <w:szCs w:val="17"/>
                <w:color w:val="auto"/>
              </w:rPr>
              <w:t>F- 22</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100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Financial Instruments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Fair value of financial instruments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carrying value of cash and cash equivalents and restricted cash, are considered Level 1 items as they represent liquid assets with short-term maturities, trade receivables, amounts due to related parties, trade accounts payable and accrued liabilities approximate their fair value.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fair value of variable rate long-term debt (Note 7) approximates the recorded value, due to its variable interest being based on the LIBOR and the SOFR rates and due to the fact that the lenders have the ability to pass on their funding cost to the Partnership under certain circumstances, which reflects their current assessed risk. We believe the terms of our loans are similar to those that could be procured as of December 31, 2022. LIBOR and SOFR rates are observable at commonly quoted intervals for the full term of the loans and hence bank loans are considered Level 2 items in accordance with the fair value hierarchy.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fair value of the fixed rate long-term debt (Note 7 ((iii) and (xviii)) as of December 31, 2022 was approximately $121,720 (carrying value: $142,778) and was determined by using Level 2 inputs being the discounted expected cash flows of the outstanding amount.</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2022 Bonds and the 2021 Bonds (Note 7 ((xix) and (xx))) have a fixed rate, and their estimated fair values as of December 31, 2022 were determined through Level 1 inputs of the fair value hierarchy (quoted price under the ticker symbols CPLPB1 and CPLPB2 on Athens Stock Exchange) and were approximately $228,424 (carrying value: $266,610).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Level 3 items.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issuance of the 2022 Bonds and the 2021 Bonds (Note 7), the Partnership entered into certain cross-currency swap agreements to manage the related foreign currency exchange risk by effectively converting the fixed-rate, Euro-denominated Bonds, including the semi-annual interest payments for the period from July 26, 2022 to July 26, 2029 and from October 21, 2021 to October 21, 2025, respectively to fixed-rate, U.S. Dollar-denominated debt. The economic effect of the swap agreements is to eliminate the uncertainty of the cash flows in U.S. Dollars associated with the issuance of the 2022 Bonds and the 2021 Bonds by fixing the principal amount of the 2022 Bonds and the 2021 Bonds, with a fixed annual interest rate. The cross-currency swap agreement related to the 2022 Bonds was designated as an accounting hedge.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Derivative instruments not designated as hedges are not speculative and are used to manage the Partnership’s exposure to identified risks but do not meet the strict hedge accounting requirements and/or the Partnership has not elected to apply hedge accounting. Changes in the fair value of derivatives not designated in hedging relationships are recorded directly in the consolidated statements of comprehensive income.</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Changes in the fair value of derivatives designated as accounting hedges are recorded in the consolidated statements of other comprehensive income (effective portion), until the hedged item is recognized in the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terms of the cross-currency swap agreements and their respective fair value as of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Liabilities:</w:t>
            </w: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0"/>
        </w:trPr>
        <w:tc>
          <w:tcPr>
            <w:tcW w:w="2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2440" w:type="dxa"/>
            <w:vAlign w:val="bottom"/>
          </w:tcPr>
          <w:p>
            <w:pPr>
              <w:jc w:val="center"/>
              <w:ind w:left="1277"/>
              <w:spacing w:after="0"/>
              <w:rPr>
                <w:sz w:val="20"/>
                <w:szCs w:val="20"/>
                <w:color w:val="auto"/>
              </w:rPr>
            </w:pPr>
            <w:r>
              <w:rPr>
                <w:rFonts w:ascii="Times New Roman" w:cs="Times New Roman" w:eastAsia="Times New Roman" w:hAnsi="Times New Roman"/>
                <w:sz w:val="17"/>
                <w:szCs w:val="17"/>
                <w:b w:val="1"/>
                <w:bCs w:val="1"/>
                <w:color w:val="auto"/>
                <w:w w:val="96"/>
              </w:rPr>
              <w:t>Termination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Notional</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Notional</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Fixed Rate the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Fixed Rate the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4"/>
              </w:rPr>
              <w:t>Fair Value</w:t>
            </w:r>
          </w:p>
        </w:tc>
      </w:tr>
      <w:tr>
        <w:trPr>
          <w:trHeight w:val="200"/>
        </w:trPr>
        <w:tc>
          <w:tcPr>
            <w:tcW w:w="2940" w:type="dxa"/>
            <w:vAlign w:val="bottom"/>
          </w:tcPr>
          <w:p>
            <w:pPr>
              <w:spacing w:after="0"/>
              <w:rPr>
                <w:sz w:val="17"/>
                <w:szCs w:val="17"/>
                <w:color w:val="auto"/>
              </w:rPr>
            </w:pPr>
          </w:p>
        </w:tc>
        <w:tc>
          <w:tcPr>
            <w:tcW w:w="2440" w:type="dxa"/>
            <w:vAlign w:val="bottom"/>
          </w:tcPr>
          <w:p>
            <w:pPr>
              <w:jc w:val="center"/>
              <w:ind w:left="1297"/>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in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in</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Partnership</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Partnership</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00"/>
        </w:trPr>
        <w:tc>
          <w:tcPr>
            <w:tcW w:w="29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thousands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United States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receives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pays in United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2022 in United</w:t>
            </w:r>
          </w:p>
        </w:tc>
      </w:tr>
      <w:tr>
        <w:trPr>
          <w:trHeight w:val="221"/>
        </w:trPr>
        <w:tc>
          <w:tcPr>
            <w:tcW w:w="29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EURO</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Dollars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EURO</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States Dollars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States Dollars</w:t>
            </w:r>
          </w:p>
        </w:tc>
      </w:tr>
      <w:tr>
        <w:trPr>
          <w:trHeight w:val="20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21/10/2021</w:t>
            </w:r>
          </w:p>
        </w:tc>
        <w:tc>
          <w:tcPr>
            <w:tcW w:w="2440" w:type="dxa"/>
            <w:vAlign w:val="bottom"/>
            <w:shd w:val="clear" w:color="auto" w:fill="CCEEFF"/>
          </w:tcPr>
          <w:p>
            <w:pPr>
              <w:jc w:val="center"/>
              <w:ind w:left="1277"/>
              <w:spacing w:after="0"/>
              <w:rPr>
                <w:sz w:val="20"/>
                <w:szCs w:val="20"/>
                <w:color w:val="auto"/>
              </w:rPr>
            </w:pPr>
            <w:r>
              <w:rPr>
                <w:rFonts w:ascii="Times New Roman" w:cs="Times New Roman" w:eastAsia="Times New Roman" w:hAnsi="Times New Roman"/>
                <w:sz w:val="17"/>
                <w:szCs w:val="17"/>
                <w:color w:val="auto"/>
                <w:w w:val="98"/>
              </w:rPr>
              <w:t>21/10/2025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120,000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139,716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3.655%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10,068</w:t>
            </w:r>
          </w:p>
        </w:tc>
        <w:tc>
          <w:tcPr>
            <w:tcW w:w="40" w:type="dxa"/>
            <w:vAlign w:val="bottom"/>
            <w:shd w:val="clear" w:color="auto" w:fill="CCEEFF"/>
          </w:tcPr>
          <w:p>
            <w:pPr>
              <w:spacing w:after="0"/>
              <w:rPr>
                <w:sz w:val="17"/>
                <w:szCs w:val="17"/>
                <w:color w:val="auto"/>
              </w:rPr>
            </w:pPr>
          </w:p>
        </w:tc>
      </w:tr>
      <w:tr>
        <w:trPr>
          <w:trHeight w:val="200"/>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21/10/2021</w:t>
            </w:r>
          </w:p>
        </w:tc>
        <w:tc>
          <w:tcPr>
            <w:tcW w:w="2440" w:type="dxa"/>
            <w:vAlign w:val="bottom"/>
          </w:tcPr>
          <w:p>
            <w:pPr>
              <w:jc w:val="center"/>
              <w:ind w:left="1277"/>
              <w:spacing w:after="0"/>
              <w:rPr>
                <w:sz w:val="20"/>
                <w:szCs w:val="20"/>
                <w:color w:val="auto"/>
              </w:rPr>
            </w:pPr>
            <w:r>
              <w:rPr>
                <w:rFonts w:ascii="Times New Roman" w:cs="Times New Roman" w:eastAsia="Times New Roman" w:hAnsi="Times New Roman"/>
                <w:sz w:val="17"/>
                <w:szCs w:val="17"/>
                <w:color w:val="auto"/>
                <w:w w:val="98"/>
              </w:rPr>
              <w:t>21/10/2025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30,000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34,929</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2.65%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3.690%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2,641</w:t>
            </w:r>
          </w:p>
        </w:tc>
        <w:tc>
          <w:tcPr>
            <w:tcW w:w="40" w:type="dxa"/>
            <w:vAlign w:val="bottom"/>
          </w:tcPr>
          <w:p>
            <w:pPr>
              <w:spacing w:after="0"/>
              <w:rPr>
                <w:sz w:val="17"/>
                <w:szCs w:val="17"/>
                <w:color w:val="auto"/>
              </w:rPr>
            </w:pPr>
          </w:p>
        </w:tc>
      </w:tr>
      <w:tr>
        <w:trPr>
          <w:trHeight w:val="200"/>
        </w:trPr>
        <w:tc>
          <w:tcPr>
            <w:tcW w:w="29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26/07/2022</w:t>
            </w:r>
          </w:p>
        </w:tc>
        <w:tc>
          <w:tcPr>
            <w:tcW w:w="2440" w:type="dxa"/>
            <w:vAlign w:val="bottom"/>
            <w:shd w:val="clear" w:color="auto" w:fill="CCECFF"/>
          </w:tcPr>
          <w:p>
            <w:pPr>
              <w:jc w:val="center"/>
              <w:ind w:left="1277"/>
              <w:spacing w:after="0"/>
              <w:rPr>
                <w:sz w:val="20"/>
                <w:szCs w:val="20"/>
                <w:color w:val="auto"/>
              </w:rPr>
            </w:pPr>
            <w:r>
              <w:rPr>
                <w:rFonts w:ascii="Times New Roman" w:cs="Times New Roman" w:eastAsia="Times New Roman" w:hAnsi="Times New Roman"/>
                <w:sz w:val="17"/>
                <w:szCs w:val="17"/>
                <w:color w:val="auto"/>
                <w:w w:val="98"/>
              </w:rPr>
              <w:t>26/07/2029</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100,000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101,800</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5"/>
              </w:rPr>
              <w:t>4.40%</w:t>
            </w:r>
          </w:p>
        </w:tc>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6.550%</w:t>
            </w:r>
          </w:p>
        </w:tc>
        <w:tc>
          <w:tcPr>
            <w:tcW w:w="120" w:type="dxa"/>
            <w:vAlign w:val="bottom"/>
            <w:tcBorders>
              <w:right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04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816</w:t>
            </w:r>
          </w:p>
        </w:tc>
        <w:tc>
          <w:tcPr>
            <w:tcW w:w="40" w:type="dxa"/>
            <w:vAlign w:val="bottom"/>
            <w:tcBorders>
              <w:bottom w:val="single" w:sz="8" w:color="auto"/>
            </w:tcBorders>
            <w:shd w:val="clear" w:color="auto" w:fill="CCECFF"/>
          </w:tcPr>
          <w:p>
            <w:pPr>
              <w:spacing w:after="0"/>
              <w:rPr>
                <w:sz w:val="17"/>
                <w:szCs w:val="17"/>
                <w:color w:val="auto"/>
              </w:rPr>
            </w:pPr>
          </w:p>
        </w:tc>
      </w:tr>
      <w:tr>
        <w:trPr>
          <w:trHeight w:val="172"/>
        </w:trPr>
        <w:tc>
          <w:tcPr>
            <w:tcW w:w="2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7"/>
              </w:rPr>
              <w:t>Total Fair</w:t>
            </w:r>
          </w:p>
        </w:tc>
        <w:tc>
          <w:tcPr>
            <w:tcW w:w="120" w:type="dxa"/>
            <w:vAlign w:val="bottom"/>
          </w:tcPr>
          <w:p>
            <w:pPr>
              <w:spacing w:after="0"/>
              <w:rPr>
                <w:sz w:val="14"/>
                <w:szCs w:val="14"/>
                <w:color w:val="auto"/>
              </w:rPr>
            </w:pPr>
          </w:p>
        </w:tc>
        <w:tc>
          <w:tcPr>
            <w:tcW w:w="1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13,525</w:t>
            </w:r>
          </w:p>
        </w:tc>
        <w:tc>
          <w:tcPr>
            <w:tcW w:w="40" w:type="dxa"/>
            <w:vAlign w:val="bottom"/>
          </w:tcPr>
          <w:p>
            <w:pPr>
              <w:spacing w:after="0"/>
              <w:rPr>
                <w:sz w:val="14"/>
                <w:szCs w:val="14"/>
                <w:color w:val="auto"/>
              </w:rPr>
            </w:pPr>
          </w:p>
        </w:tc>
      </w:tr>
      <w:tr>
        <w:trPr>
          <w:trHeight w:val="213"/>
        </w:trPr>
        <w:tc>
          <w:tcPr>
            <w:tcW w:w="2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463"/>
        </w:trPr>
        <w:tc>
          <w:tcPr>
            <w:tcW w:w="2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F- 23</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r>
      <w:tr>
        <w:trPr>
          <w:trHeight w:val="20"/>
        </w:trPr>
        <w:tc>
          <w:tcPr>
            <w:tcW w:w="2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Financial Instruments – Continued</w:t>
      </w:r>
    </w:p>
    <w:p>
      <w:pPr>
        <w:spacing w:after="0" w:line="205" w:lineRule="exact"/>
        <w:rPr>
          <w:sz w:val="20"/>
          <w:szCs w:val="20"/>
          <w:color w:val="auto"/>
        </w:rPr>
      </w:pPr>
    </w:p>
    <w:p>
      <w:pPr>
        <w:ind w:right="7620"/>
        <w:spacing w:after="0" w:line="494" w:lineRule="auto"/>
        <w:tabs>
          <w:tab w:leader="none" w:pos="236"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 – Continued Derivative instruments – Continued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tables summarize the effect of the cross-currency swap agreements for the years ended December 31, 2022, 2021 and 2020.</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Derivative designated as accounting hedge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Borders>
              <w:top w:val="single" w:sz="8" w:color="auto"/>
            </w:tcBorders>
            <w:shd w:val="clear" w:color="auto" w:fill="CCECFF"/>
          </w:tcPr>
          <w:p>
            <w:pPr>
              <w:spacing w:after="0"/>
              <w:rPr>
                <w:sz w:val="20"/>
                <w:szCs w:val="20"/>
                <w:color w:val="auto"/>
              </w:rPr>
            </w:pPr>
          </w:p>
        </w:tc>
        <w:tc>
          <w:tcPr>
            <w:tcW w:w="60" w:type="dxa"/>
            <w:vAlign w:val="bottom"/>
            <w:tcBorders>
              <w:top w:val="single" w:sz="8" w:color="auto"/>
            </w:tcBorders>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3960" w:type="dxa"/>
            <w:vAlign w:val="bottom"/>
            <w:tcBorders>
              <w:top w:val="single" w:sz="8" w:color="auto"/>
            </w:tcBorders>
            <w:gridSpan w:val="11"/>
            <w:shd w:val="clear" w:color="auto" w:fill="CCECFF"/>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7"/>
              </w:rPr>
              <w:t>Amount of gain / (loss) recognized in other</w:t>
            </w:r>
          </w:p>
        </w:tc>
      </w:tr>
      <w:tr>
        <w:trPr>
          <w:trHeight w:val="256"/>
        </w:trPr>
        <w:tc>
          <w:tcPr>
            <w:tcW w:w="7000" w:type="dxa"/>
            <w:vAlign w:val="bottom"/>
            <w:tcBorders>
              <w:bottom w:val="single" w:sz="8" w:color="CCECFF"/>
            </w:tcBorders>
            <w:shd w:val="clear" w:color="auto" w:fill="CCECFF"/>
          </w:tcPr>
          <w:p>
            <w:pPr>
              <w:spacing w:after="0"/>
              <w:rPr>
                <w:sz w:val="22"/>
                <w:szCs w:val="22"/>
                <w:color w:val="auto"/>
              </w:rPr>
            </w:pPr>
          </w:p>
        </w:tc>
        <w:tc>
          <w:tcPr>
            <w:tcW w:w="6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CCECFF"/>
            </w:tcBorders>
            <w:shd w:val="clear" w:color="auto" w:fill="CCECFF"/>
          </w:tcPr>
          <w:p>
            <w:pPr>
              <w:spacing w:after="0"/>
              <w:rPr>
                <w:sz w:val="22"/>
                <w:szCs w:val="22"/>
                <w:color w:val="auto"/>
              </w:rPr>
            </w:pPr>
          </w:p>
        </w:tc>
        <w:tc>
          <w:tcPr>
            <w:tcW w:w="1080" w:type="dxa"/>
            <w:vAlign w:val="bottom"/>
            <w:tcBorders>
              <w:bottom w:val="single" w:sz="8" w:color="CCECFF"/>
            </w:tcBorders>
            <w:shd w:val="clear" w:color="auto" w:fill="CCECFF"/>
          </w:tcPr>
          <w:p>
            <w:pPr>
              <w:spacing w:after="0"/>
              <w:rPr>
                <w:sz w:val="22"/>
                <w:szCs w:val="22"/>
                <w:color w:val="auto"/>
              </w:rPr>
            </w:pPr>
          </w:p>
        </w:tc>
        <w:tc>
          <w:tcPr>
            <w:tcW w:w="40" w:type="dxa"/>
            <w:vAlign w:val="bottom"/>
            <w:tcBorders>
              <w:bottom w:val="single" w:sz="8" w:color="CCECFF"/>
            </w:tcBorders>
            <w:shd w:val="clear" w:color="auto" w:fill="CCECFF"/>
          </w:tcPr>
          <w:p>
            <w:pPr>
              <w:spacing w:after="0"/>
              <w:rPr>
                <w:sz w:val="22"/>
                <w:szCs w:val="22"/>
                <w:color w:val="auto"/>
              </w:rPr>
            </w:pPr>
          </w:p>
        </w:tc>
        <w:tc>
          <w:tcPr>
            <w:tcW w:w="1500" w:type="dxa"/>
            <w:vAlign w:val="bottom"/>
            <w:tcBorders>
              <w:bottom w:val="single" w:sz="8" w:color="CCECFF"/>
            </w:tcBorders>
            <w:gridSpan w:val="6"/>
            <w:shd w:val="clear" w:color="auto" w:fill="CCECFF"/>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comprehensive loss</w:t>
            </w:r>
          </w:p>
        </w:tc>
        <w:tc>
          <w:tcPr>
            <w:tcW w:w="4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spacing w:after="0"/>
              <w:rPr>
                <w:sz w:val="22"/>
                <w:szCs w:val="22"/>
                <w:color w:val="auto"/>
              </w:rPr>
            </w:pPr>
          </w:p>
        </w:tc>
        <w:tc>
          <w:tcPr>
            <w:tcW w:w="920" w:type="dxa"/>
            <w:vAlign w:val="bottom"/>
            <w:tcBorders>
              <w:bottom w:val="single" w:sz="8" w:color="CCECFF"/>
            </w:tcBorders>
            <w:shd w:val="clear" w:color="auto" w:fill="CCECFF"/>
          </w:tcPr>
          <w:p>
            <w:pPr>
              <w:spacing w:after="0"/>
              <w:rPr>
                <w:sz w:val="22"/>
                <w:szCs w:val="22"/>
                <w:color w:val="auto"/>
              </w:rPr>
            </w:pPr>
          </w:p>
        </w:tc>
      </w:tr>
      <w:tr>
        <w:trPr>
          <w:trHeight w:val="250"/>
        </w:trPr>
        <w:tc>
          <w:tcPr>
            <w:tcW w:w="7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5"/>
        </w:trPr>
        <w:tc>
          <w:tcPr>
            <w:tcW w:w="7000" w:type="dxa"/>
            <w:vAlign w:val="bottom"/>
            <w:tcBorders>
              <w:bottom w:val="single" w:sz="8" w:color="CCEC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Cross-currency swap agreement related to the 2022 Bonds</w:t>
            </w:r>
          </w:p>
        </w:tc>
        <w:tc>
          <w:tcPr>
            <w:tcW w:w="280" w:type="dxa"/>
            <w:vAlign w:val="bottom"/>
            <w:tcBorders>
              <w:bottom w:val="single" w:sz="8" w:color="CCECFF"/>
            </w:tcBorders>
            <w:gridSpan w:val="2"/>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7"/>
                <w:szCs w:val="17"/>
                <w:color w:val="auto"/>
              </w:rPr>
              <w:t>(1,757)</w:t>
            </w:r>
          </w:p>
        </w:tc>
        <w:tc>
          <w:tcPr>
            <w:tcW w:w="500" w:type="dxa"/>
            <w:vAlign w:val="bottom"/>
            <w:tcBorders>
              <w:bottom w:val="single" w:sz="8" w:color="CCECFF"/>
            </w:tcBorders>
            <w:gridSpan w:val="4"/>
            <w:shd w:val="clear" w:color="auto" w:fill="CCEC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CFF"/>
            </w:tcBorders>
            <w:gridSpan w:val="3"/>
            <w:shd w:val="clear" w:color="auto" w:fill="CCECFF"/>
          </w:tcPr>
          <w:p>
            <w:pPr>
              <w:jc w:val="center"/>
              <w:ind w:right="2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CCECFF"/>
            </w:tcBorders>
            <w:gridSpan w:val="2"/>
            <w:shd w:val="clear" w:color="auto" w:fill="CCEC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CFF"/>
            </w:tcBorders>
            <w:shd w:val="clear" w:color="auto" w:fill="CCECFF"/>
          </w:tcPr>
          <w:p>
            <w:pPr>
              <w:jc w:val="center"/>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Reclassification to other income / (expense),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(3,009)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3"/>
        </w:trPr>
        <w:tc>
          <w:tcPr>
            <w:tcW w:w="7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Total recognized in other comprehensive loss</w:t>
            </w:r>
          </w:p>
        </w:tc>
        <w:tc>
          <w:tcPr>
            <w:tcW w:w="280" w:type="dxa"/>
            <w:vAlign w:val="bottom"/>
            <w:tcBorders>
              <w:bottom w:val="single" w:sz="8" w:color="CCECFF"/>
            </w:tcBorders>
            <w:gridSpan w:val="2"/>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7"/>
                <w:szCs w:val="17"/>
                <w:b w:val="1"/>
                <w:bCs w:val="1"/>
                <w:color w:val="auto"/>
              </w:rPr>
              <w:t>(4,766)</w:t>
            </w:r>
          </w:p>
        </w:tc>
        <w:tc>
          <w:tcPr>
            <w:tcW w:w="500" w:type="dxa"/>
            <w:vAlign w:val="bottom"/>
            <w:tcBorders>
              <w:bottom w:val="single" w:sz="8" w:color="CCECFF"/>
            </w:tcBorders>
            <w:gridSpan w:val="4"/>
            <w:shd w:val="clear" w:color="auto" w:fill="CCECFF"/>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CCECFF"/>
            </w:tcBorders>
            <w:gridSpan w:val="3"/>
            <w:shd w:val="clear" w:color="auto" w:fill="CCECFF"/>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bottom w:val="single" w:sz="8" w:color="CCECFF"/>
            </w:tcBorders>
            <w:gridSpan w:val="2"/>
            <w:shd w:val="clear" w:color="auto" w:fill="CCECFF"/>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CCECFF"/>
            </w:tcBorders>
            <w:shd w:val="clear" w:color="auto" w:fill="CCECFF"/>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00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8360" w:type="dxa"/>
            <w:vAlign w:val="bottom"/>
            <w:tcBorders>
              <w:bottom w:val="single" w:sz="8" w:color="auto"/>
            </w:tcBorders>
            <w:gridSpan w:val="4"/>
          </w:tcPr>
          <w:p>
            <w:pPr>
              <w:ind w:left="3920"/>
              <w:spacing w:after="0"/>
              <w:rPr>
                <w:sz w:val="20"/>
                <w:szCs w:val="20"/>
                <w:color w:val="auto"/>
              </w:rPr>
            </w:pPr>
            <w:r>
              <w:rPr>
                <w:rFonts w:ascii="Times New Roman" w:cs="Times New Roman" w:eastAsia="Times New Roman" w:hAnsi="Times New Roman"/>
                <w:sz w:val="17"/>
                <w:szCs w:val="17"/>
                <w:b w:val="1"/>
                <w:bCs w:val="1"/>
                <w:color w:val="auto"/>
              </w:rPr>
              <w:t>Derivatives not designated as accounting hedges</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3"/>
        </w:trPr>
        <w:tc>
          <w:tcPr>
            <w:tcW w:w="7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960" w:type="dxa"/>
            <w:vAlign w:val="bottom"/>
            <w:gridSpan w:val="11"/>
            <w:shd w:val="clear" w:color="auto" w:fill="CCEEFF"/>
          </w:tcPr>
          <w:p>
            <w:pPr>
              <w:jc w:val="center"/>
              <w:ind w:right="137"/>
              <w:spacing w:after="0" w:line="172" w:lineRule="exact"/>
              <w:rPr>
                <w:sz w:val="20"/>
                <w:szCs w:val="20"/>
                <w:color w:val="auto"/>
              </w:rPr>
            </w:pPr>
            <w:r>
              <w:rPr>
                <w:rFonts w:ascii="Times New Roman" w:cs="Times New Roman" w:eastAsia="Times New Roman" w:hAnsi="Times New Roman"/>
                <w:sz w:val="17"/>
                <w:szCs w:val="17"/>
                <w:b w:val="1"/>
                <w:bCs w:val="1"/>
                <w:color w:val="auto"/>
                <w:w w:val="97"/>
              </w:rPr>
              <w:t>Amount of gain / (loss) recognized in other income /</w:t>
            </w:r>
          </w:p>
        </w:tc>
      </w:tr>
      <w:tr>
        <w:trPr>
          <w:trHeight w:val="221"/>
        </w:trPr>
        <w:tc>
          <w:tcPr>
            <w:tcW w:w="7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(expense), net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0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0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derivatives related to the 2021 Bonds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(9,542)</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(3,167)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Realized interest income / (expense), net of derivatives related to the 2021 Bonds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(2,258)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(374)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recognized in other income / (expense), net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(11,800)</w:t>
            </w:r>
          </w:p>
        </w:tc>
        <w:tc>
          <w:tcPr>
            <w:tcW w:w="50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(3,541)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estimated net expense that is expected to be reclassified within the next 12 months from Other Comprehensive Loss to earnings in respect of the settlements on cross-currency swaps amounts to $1,987.</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fair value of the cross-currency swap agreements is presented net of accrued interest expense which is recorded in “Accrued liabilities” in the consolidated balance sheets.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Items Measured at Fair Value on a recurring Basis - Fair Value Measurements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Quoted prices</w:t>
            </w:r>
          </w:p>
        </w:tc>
        <w:tc>
          <w:tcPr>
            <w:tcW w:w="26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Unobservable</w:t>
            </w:r>
          </w:p>
        </w:tc>
      </w:tr>
      <w:tr>
        <w:trPr>
          <w:trHeight w:val="200"/>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26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Inputs  (Level</w:t>
            </w:r>
          </w:p>
        </w:tc>
      </w:tr>
      <w:tr>
        <w:trPr>
          <w:trHeight w:val="200"/>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markets for</w:t>
            </w:r>
          </w:p>
        </w:tc>
        <w:tc>
          <w:tcPr>
            <w:tcW w:w="26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3)</w:t>
            </w:r>
          </w:p>
        </w:tc>
      </w:tr>
      <w:tr>
        <w:trPr>
          <w:trHeight w:val="200"/>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identical</w:t>
            </w:r>
          </w:p>
        </w:tc>
        <w:tc>
          <w:tcPr>
            <w:tcW w:w="26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inputs (Level</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assets (Level</w:t>
            </w:r>
          </w:p>
        </w:tc>
        <w:tc>
          <w:tcPr>
            <w:tcW w:w="2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1"/>
        </w:trPr>
        <w:tc>
          <w:tcPr>
            <w:tcW w:w="5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Recurring Measurements 2022:</w:t>
            </w:r>
          </w:p>
        </w:tc>
        <w:tc>
          <w:tcPr>
            <w:tcW w:w="1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w:t>
            </w:r>
          </w:p>
        </w:tc>
        <w:tc>
          <w:tcPr>
            <w:tcW w:w="1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93"/>
        </w:trPr>
        <w:tc>
          <w:tcPr>
            <w:tcW w:w="56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7"/>
                <w:szCs w:val="17"/>
                <w:color w:val="auto"/>
              </w:rPr>
              <w:t>Cross Currency SWAP (120,000)</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10,068</w:t>
            </w:r>
          </w:p>
        </w:tc>
        <w:tc>
          <w:tcPr>
            <w:tcW w:w="120" w:type="dxa"/>
            <w:vAlign w:val="bottom"/>
            <w:shd w:val="clear" w:color="auto" w:fill="CCECFF"/>
          </w:tcPr>
          <w:p>
            <w:pPr>
              <w:spacing w:after="0"/>
              <w:rPr>
                <w:sz w:val="24"/>
                <w:szCs w:val="24"/>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10,068</w:t>
            </w:r>
          </w:p>
        </w:tc>
        <w:tc>
          <w:tcPr>
            <w:tcW w:w="100" w:type="dxa"/>
            <w:vAlign w:val="bottom"/>
            <w:shd w:val="clear" w:color="auto" w:fill="CCECFF"/>
          </w:tcPr>
          <w:p>
            <w:pPr>
              <w:spacing w:after="0"/>
              <w:rPr>
                <w:sz w:val="24"/>
                <w:szCs w:val="24"/>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Cross Currency SWAP (30,000)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2,641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2,641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54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7"/>
                <w:szCs w:val="17"/>
                <w:color w:val="auto"/>
              </w:rPr>
              <w:t>Cross Currency SWAP (100,000)</w:t>
            </w:r>
          </w:p>
        </w:tc>
        <w:tc>
          <w:tcPr>
            <w:tcW w:w="120" w:type="dxa"/>
            <w:vAlign w:val="bottom"/>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spacing w:after="0"/>
              <w:rPr>
                <w:sz w:val="24"/>
                <w:szCs w:val="24"/>
                <w:color w:val="auto"/>
              </w:rPr>
            </w:pPr>
          </w:p>
        </w:tc>
        <w:tc>
          <w:tcPr>
            <w:tcW w:w="106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816</w:t>
            </w:r>
          </w:p>
        </w:tc>
        <w:tc>
          <w:tcPr>
            <w:tcW w:w="120" w:type="dxa"/>
            <w:vAlign w:val="bottom"/>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10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spacing w:after="0"/>
              <w:rPr>
                <w:sz w:val="24"/>
                <w:szCs w:val="24"/>
                <w:color w:val="auto"/>
              </w:rPr>
            </w:pPr>
          </w:p>
        </w:tc>
        <w:tc>
          <w:tcPr>
            <w:tcW w:w="106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10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93"/>
        </w:trPr>
        <w:tc>
          <w:tcPr>
            <w:tcW w:w="56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13,525</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13,525</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fair value (Level 2) of cross-currency swap derivative agreements is the present value of the estimated future cash flows that we would receive or pay to terminate the agreements at the balance sheet date, taking into account, as applicable, current interest rates, foreign exchange rates and the credit worthiness of both us and the derivative counterparty. This line item is presented in “Derivative liabilities” in the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Concentration of credit risk</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Financial instruments which potentially subject the Partnership to significant concentrations of credit risk consist principally of cash and cash equivalents and trade accounts receivable, net. The Partnership places its cash and cash equivalents, consisting mostly of deposits, with a limited number creditworthy financial institutions rated by qualified rating agencies. Most of the Partnership’s revenues were derived from a few charterers.</w:t>
      </w:r>
    </w:p>
    <w:p>
      <w:pPr>
        <w:spacing w:after="0" w:line="269"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F- 24</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Accrued Liabilities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6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 consist of the following:</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193"/>
        </w:trPr>
        <w:tc>
          <w:tcPr>
            <w:tcW w:w="5160" w:type="dxa"/>
            <w:vAlign w:val="bottom"/>
            <w:tcBorders>
              <w:bottom w:val="single" w:sz="8" w:color="CCECFF"/>
            </w:tcBorders>
          </w:tcPr>
          <w:p>
            <w:pPr>
              <w:spacing w:after="0"/>
              <w:rPr>
                <w:sz w:val="16"/>
                <w:szCs w:val="16"/>
                <w:color w:val="auto"/>
              </w:rPr>
            </w:pPr>
          </w:p>
        </w:tc>
        <w:tc>
          <w:tcPr>
            <w:tcW w:w="2160" w:type="dxa"/>
            <w:vAlign w:val="bottom"/>
            <w:tcBorders>
              <w:bottom w:val="single" w:sz="8" w:color="CCECFF"/>
            </w:tcBorders>
          </w:tcPr>
          <w:p>
            <w:pPr>
              <w:spacing w:after="0"/>
              <w:rPr>
                <w:sz w:val="16"/>
                <w:szCs w:val="16"/>
                <w:color w:val="auto"/>
              </w:rPr>
            </w:pPr>
          </w:p>
        </w:tc>
        <w:tc>
          <w:tcPr>
            <w:tcW w:w="300" w:type="dxa"/>
            <w:vAlign w:val="bottom"/>
            <w:tcBorders>
              <w:bottom w:val="single" w:sz="8" w:color="CCECFF"/>
            </w:tcBorders>
          </w:tcPr>
          <w:p>
            <w:pPr>
              <w:spacing w:after="0"/>
              <w:rPr>
                <w:sz w:val="16"/>
                <w:szCs w:val="16"/>
                <w:color w:val="auto"/>
              </w:rPr>
            </w:pPr>
          </w:p>
        </w:tc>
        <w:tc>
          <w:tcPr>
            <w:tcW w:w="940" w:type="dxa"/>
            <w:vAlign w:val="bottom"/>
            <w:tcBorders>
              <w:bottom w:val="single" w:sz="8" w:color="CCECFF"/>
            </w:tcBorders>
          </w:tcPr>
          <w:p>
            <w:pPr>
              <w:spacing w:after="0"/>
              <w:rPr>
                <w:sz w:val="16"/>
                <w:szCs w:val="16"/>
                <w:color w:val="auto"/>
              </w:rPr>
            </w:pPr>
          </w:p>
        </w:tc>
        <w:tc>
          <w:tcPr>
            <w:tcW w:w="60" w:type="dxa"/>
            <w:vAlign w:val="bottom"/>
            <w:tcBorders>
              <w:bottom w:val="single" w:sz="8" w:color="CCECFF"/>
            </w:tcBorders>
          </w:tcPr>
          <w:p>
            <w:pPr>
              <w:spacing w:after="0"/>
              <w:rPr>
                <w:sz w:val="16"/>
                <w:szCs w:val="16"/>
                <w:color w:val="auto"/>
              </w:rPr>
            </w:pPr>
          </w:p>
        </w:tc>
        <w:tc>
          <w:tcPr>
            <w:tcW w:w="4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auto"/>
            </w:tcBorders>
          </w:tcPr>
          <w:p>
            <w:pPr>
              <w:spacing w:after="0"/>
              <w:rPr>
                <w:sz w:val="16"/>
                <w:szCs w:val="16"/>
                <w:color w:val="auto"/>
              </w:rPr>
            </w:pPr>
          </w:p>
        </w:tc>
      </w:tr>
      <w:tr>
        <w:trPr>
          <w:trHeight w:val="193"/>
        </w:trPr>
        <w:tc>
          <w:tcPr>
            <w:tcW w:w="516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Accrued loan interest and loan fees</w:t>
            </w:r>
          </w:p>
        </w:tc>
        <w:tc>
          <w:tcPr>
            <w:tcW w:w="21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300" w:type="dxa"/>
            <w:vAlign w:val="bottom"/>
            <w:shd w:val="clear" w:color="auto" w:fill="CCECFF"/>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8,139</w:t>
            </w:r>
          </w:p>
        </w:tc>
        <w:tc>
          <w:tcPr>
            <w:tcW w:w="1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3,355</w:t>
            </w: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Accrued operating expenses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4,076</w:t>
            </w:r>
          </w:p>
        </w:tc>
      </w:tr>
      <w:tr>
        <w:trPr>
          <w:trHeight w:val="200"/>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Accrued capitalized expenses</w:t>
            </w:r>
          </w:p>
        </w:tc>
        <w:tc>
          <w:tcPr>
            <w:tcW w:w="21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Accrued voyage expenses and commissions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2,472</w:t>
            </w:r>
          </w:p>
        </w:tc>
      </w:tr>
      <w:tr>
        <w:trPr>
          <w:trHeight w:val="200"/>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Accrued general and administrative expenses</w:t>
            </w:r>
          </w:p>
        </w:tc>
        <w:tc>
          <w:tcPr>
            <w:tcW w:w="21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20" w:type="dxa"/>
            <w:vAlign w:val="bottom"/>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198"/>
        </w:trPr>
        <w:tc>
          <w:tcPr>
            <w:tcW w:w="51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17,476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11,395</w:t>
            </w:r>
          </w:p>
        </w:tc>
      </w:tr>
      <w:tr>
        <w:trPr>
          <w:trHeight w:val="401"/>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Voyage Expenses and Vessel Operating Expenses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Voyage expenses and vessel operating expenses consist of the following:</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9"/>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r>
      <w:tr>
        <w:trPr>
          <w:trHeight w:val="221"/>
        </w:trPr>
        <w:tc>
          <w:tcPr>
            <w:tcW w:w="51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 w:type="dxa"/>
            <w:vAlign w:val="bottom"/>
            <w:tcBorders>
              <w:bottom w:val="single" w:sz="8" w:color="auto"/>
            </w:tcBorders>
          </w:tcPr>
          <w:p>
            <w:pPr>
              <w:spacing w:after="0"/>
              <w:rPr>
                <w:sz w:val="19"/>
                <w:szCs w:val="19"/>
                <w:color w:val="auto"/>
              </w:rPr>
            </w:pPr>
          </w:p>
        </w:tc>
      </w:tr>
      <w:tr>
        <w:trPr>
          <w:trHeight w:val="193"/>
        </w:trPr>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Voyage expenses:</w:t>
            </w:r>
          </w:p>
        </w:tc>
        <w:tc>
          <w:tcPr>
            <w:tcW w:w="2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Commissions</w:t>
            </w:r>
          </w:p>
        </w:tc>
        <w:tc>
          <w:tcPr>
            <w:tcW w:w="24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6,134</w:t>
            </w:r>
          </w:p>
        </w:tc>
        <w:tc>
          <w:tcPr>
            <w:tcW w:w="3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1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2,809</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Bunkers</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7,365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Port expenses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r>
      <w:tr>
        <w:trPr>
          <w:trHeight w:val="198"/>
        </w:trPr>
        <w:tc>
          <w:tcPr>
            <w:tcW w:w="516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2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16,236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10,698</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6,301</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Vessel operating expenses:</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Crew costs and related costs</w:t>
            </w:r>
          </w:p>
        </w:tc>
        <w:tc>
          <w:tcPr>
            <w:tcW w:w="24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34,385</w:t>
            </w:r>
          </w:p>
        </w:tc>
        <w:tc>
          <w:tcPr>
            <w:tcW w:w="3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22,575</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16,624</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expense</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5,261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Spares, repairs, maintenance and other expenses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8,103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8,836</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Stores and lubricants</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7,512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w:t>
            </w: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Management fees (Note 4)</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9,610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4,976</w:t>
            </w: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2,589</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r>
      <w:tr>
        <w:trPr>
          <w:trHeight w:val="198"/>
        </w:trPr>
        <w:tc>
          <w:tcPr>
            <w:tcW w:w="51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21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67,460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47,122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38,721</w:t>
            </w:r>
          </w:p>
        </w:tc>
      </w:tr>
      <w:tr>
        <w:trPr>
          <w:trHeight w:val="701"/>
        </w:trPr>
        <w:tc>
          <w:tcPr>
            <w:tcW w:w="5160" w:type="dxa"/>
            <w:vAlign w:val="bottom"/>
          </w:tcPr>
          <w:p>
            <w:pPr>
              <w:spacing w:after="0"/>
              <w:rPr>
                <w:sz w:val="24"/>
                <w:szCs w:val="24"/>
                <w:color w:val="auto"/>
              </w:rPr>
            </w:pPr>
          </w:p>
        </w:tc>
        <w:tc>
          <w:tcPr>
            <w:tcW w:w="2460" w:type="dxa"/>
            <w:vAlign w:val="bottom"/>
            <w:gridSpan w:val="2"/>
          </w:tcPr>
          <w:p>
            <w:pPr>
              <w:jc w:val="right"/>
              <w:ind w:right="1737"/>
              <w:spacing w:after="0"/>
              <w:rPr>
                <w:sz w:val="20"/>
                <w:szCs w:val="20"/>
                <w:color w:val="auto"/>
              </w:rPr>
            </w:pPr>
            <w:r>
              <w:rPr>
                <w:rFonts w:ascii="Times New Roman" w:cs="Times New Roman" w:eastAsia="Times New Roman" w:hAnsi="Times New Roman"/>
                <w:sz w:val="17"/>
                <w:szCs w:val="17"/>
                <w:color w:val="auto"/>
              </w:rPr>
              <w:t>F- 25</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r>
      <w:tr>
        <w:trPr>
          <w:trHeight w:val="20"/>
        </w:trPr>
        <w:tc>
          <w:tcPr>
            <w:tcW w:w="5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income.</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 Each of the jurisdictions where the Partnership’s vessel-owning subsidiaries are incorporated grants an “equivalent exemption” to United States corporations with respect to each type of shipping income earned by the Partnership’s vessel-owning subsidiaries. Additionally, our units are only traded on the Nasdaq Global Market, which is considered to be an established securities market. The Partnership has satisfied the Publicly-Traded Test for the years ended December 31, 2022, 2021 and 2020 and the vessel-owning subsidiaries are exempt from United States federal income taxation with respect to U.S.-source shipping income.</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CPLP PLC is incorporated in Cyprus and does not conduct any substantive operations of its own. No provision for Cyprus income tax has been made in the financial statements as CPLP PLC had no assessable income for the year ended December 31, 2022 and the period from August 14, 2021 (inception) to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Partners’ Capital</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w:t>
      </w:r>
      <w:r>
        <w:rPr>
          <w:rFonts w:ascii="Times New Roman" w:cs="Times New Roman" w:eastAsia="Times New Roman" w:hAnsi="Times New Roman"/>
          <w:sz w:val="17"/>
          <w:szCs w:val="17"/>
          <w:color w:val="auto"/>
        </w:rPr>
        <w:t>The Partnership’s Limited Partnership Agreement (the “Partnership Agreement”) requires that within 45 days after the end of each quarter, beginning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quarter ending June 30, 2007, all of the Partnership’s available cash be distributed to unit 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Definition of Available Cash: </w:t>
      </w:r>
      <w:r>
        <w:rPr>
          <w:rFonts w:ascii="Times New Roman" w:cs="Times New Roman" w:eastAsia="Times New Roman" w:hAnsi="Times New Roman"/>
          <w:sz w:val="17"/>
          <w:szCs w:val="17"/>
          <w:color w:val="auto"/>
        </w:rPr>
        <w:t>Available Cash, for each fiscal quarter, consists of all cash on hand at the end of the quarter:</w:t>
      </w:r>
    </w:p>
    <w:p>
      <w:pPr>
        <w:spacing w:after="0" w:line="209" w:lineRule="exact"/>
        <w:rPr>
          <w:sz w:val="20"/>
          <w:szCs w:val="20"/>
          <w:color w:val="auto"/>
        </w:rPr>
      </w:pPr>
    </w:p>
    <w:p>
      <w:pPr>
        <w:ind w:left="780" w:hanging="216"/>
        <w:spacing w:after="0"/>
        <w:tabs>
          <w:tab w:leader="none" w:pos="7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amount of cash reserves established by our board of directors to:</w:t>
      </w:r>
    </w:p>
    <w:p>
      <w:pPr>
        <w:spacing w:after="0" w:line="29" w:lineRule="exact"/>
        <w:rPr>
          <w:rFonts w:ascii="Times New Roman" w:cs="Times New Roman" w:eastAsia="Times New Roman" w:hAnsi="Times New Roman"/>
          <w:sz w:val="17"/>
          <w:szCs w:val="17"/>
          <w:color w:val="auto"/>
        </w:rPr>
      </w:pPr>
    </w:p>
    <w:p>
      <w:pPr>
        <w:ind w:left="880" w:hanging="91"/>
        <w:spacing w:after="0"/>
        <w:tabs>
          <w:tab w:leader="none" w:pos="88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proper conduct of the Partnership’s business (including reserves for future capital expenditures and for our anticipated credit needs);</w:t>
      </w:r>
    </w:p>
    <w:p>
      <w:pPr>
        <w:spacing w:after="0" w:line="29" w:lineRule="exact"/>
        <w:rPr>
          <w:rFonts w:ascii="Times New Roman" w:cs="Times New Roman" w:eastAsia="Times New Roman" w:hAnsi="Times New Roman"/>
          <w:sz w:val="17"/>
          <w:szCs w:val="17"/>
          <w:color w:val="auto"/>
        </w:rPr>
      </w:pPr>
    </w:p>
    <w:p>
      <w:pPr>
        <w:ind w:left="880" w:hanging="91"/>
        <w:spacing w:after="0"/>
        <w:tabs>
          <w:tab w:leader="none" w:pos="88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applicable law, any of the Partnership’s debt instruments, or other agreements; or</w:t>
      </w:r>
    </w:p>
    <w:p>
      <w:pPr>
        <w:spacing w:after="0" w:line="29" w:lineRule="exact"/>
        <w:rPr>
          <w:rFonts w:ascii="Times New Roman" w:cs="Times New Roman" w:eastAsia="Times New Roman" w:hAnsi="Times New Roman"/>
          <w:sz w:val="17"/>
          <w:szCs w:val="17"/>
          <w:color w:val="auto"/>
        </w:rPr>
      </w:pPr>
    </w:p>
    <w:p>
      <w:pPr>
        <w:ind w:left="880" w:hanging="91"/>
        <w:spacing w:after="0"/>
        <w:tabs>
          <w:tab w:leader="none" w:pos="88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funds for distributions to the Partnership’s unit holders and to the general partner for any one or more of the next four quarters;</w:t>
      </w:r>
    </w:p>
    <w:p>
      <w:pPr>
        <w:spacing w:after="0" w:line="29" w:lineRule="exact"/>
        <w:rPr>
          <w:rFonts w:ascii="Times New Roman" w:cs="Times New Roman" w:eastAsia="Times New Roman" w:hAnsi="Times New Roman"/>
          <w:sz w:val="17"/>
          <w:szCs w:val="17"/>
          <w:color w:val="auto"/>
        </w:rPr>
      </w:pPr>
    </w:p>
    <w:p>
      <w:pPr>
        <w:jc w:val="both"/>
        <w:ind w:left="780" w:hanging="216"/>
        <w:spacing w:after="0" w:line="259" w:lineRule="auto"/>
        <w:tabs>
          <w:tab w:leader="none" w:pos="7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Partnership Agreement.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Partner Interest and IDRs: </w:t>
      </w:r>
      <w:r>
        <w:rPr>
          <w:rFonts w:ascii="Times New Roman" w:cs="Times New Roman" w:eastAsia="Times New Roman" w:hAnsi="Times New Roman"/>
          <w:sz w:val="17"/>
          <w:szCs w:val="17"/>
          <w:color w:val="auto"/>
        </w:rPr>
        <w:t>As of December 31, 2022, the general partner has a 1.69% interest in the Partnership (excluding treasury units) and holds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IDRs. In accordance with Section 5.2(b) of the Partnership Agreement, upon the issuance of additional units by the Partnership, the general partner may elect to make a contribution to the Partnership to maintain its general partner interest.</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IDRs represent the right to receive an increasing percentage of quarterly distributions of available cash from operating surplus after the minimum quarterly distribution and the target distribution levels have been achieved. According to the Partnership Agreement, as amended in 2014, the following table illustrates the percentage allocations of the additional available cash from operating surplus among the unit holders and general partner up to the various target distribution levels. The amounts set forth under “Marginal Percentage Interest in Distributions” are the percentage interests of the unit 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 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IDR.</w:t>
      </w:r>
    </w:p>
    <w:p>
      <w:pPr>
        <w:spacing w:after="0" w:line="266"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F- 26</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 Partners’ Capital - Continued</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Marginal Percentage</w:t>
            </w: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7"/>
                <w:szCs w:val="17"/>
                <w:b w:val="1"/>
                <w:bCs w:val="1"/>
                <w:color w:val="auto"/>
                <w:w w:val="95"/>
              </w:rPr>
              <w:t>Interest</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20" w:type="dxa"/>
            <w:vAlign w:val="bottom"/>
          </w:tcPr>
          <w:p>
            <w:pPr>
              <w:spacing w:after="0"/>
              <w:rPr>
                <w:sz w:val="19"/>
                <w:szCs w:val="19"/>
                <w:color w:val="auto"/>
              </w:rPr>
            </w:pP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Total Quarterly</w:t>
            </w:r>
          </w:p>
        </w:tc>
        <w:tc>
          <w:tcPr>
            <w:tcW w:w="22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in Distributions</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General</w:t>
            </w:r>
          </w:p>
        </w:tc>
        <w:tc>
          <w:tcPr>
            <w:tcW w:w="0" w:type="dxa"/>
            <w:vAlign w:val="bottom"/>
          </w:tcPr>
          <w:p>
            <w:pPr>
              <w:spacing w:after="0"/>
              <w:rPr>
                <w:sz w:val="1"/>
                <w:szCs w:val="1"/>
                <w:color w:val="auto"/>
              </w:rPr>
            </w:pPr>
          </w:p>
        </w:tc>
      </w:tr>
      <w:tr>
        <w:trPr>
          <w:trHeight w:val="100"/>
        </w:trPr>
        <w:tc>
          <w:tcPr>
            <w:tcW w:w="6620" w:type="dxa"/>
            <w:vAlign w:val="bottom"/>
          </w:tcPr>
          <w:p>
            <w:pPr>
              <w:spacing w:after="0"/>
              <w:rPr>
                <w:sz w:val="8"/>
                <w:szCs w:val="8"/>
                <w:color w:val="auto"/>
              </w:rPr>
            </w:pP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Distribution Target Amount per</w:t>
            </w:r>
          </w:p>
        </w:tc>
        <w:tc>
          <w:tcPr>
            <w:tcW w:w="14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Unitholders</w:t>
            </w: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62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Partner</w:t>
            </w:r>
          </w:p>
        </w:tc>
        <w:tc>
          <w:tcPr>
            <w:tcW w:w="0" w:type="dxa"/>
            <w:vAlign w:val="bottom"/>
          </w:tcPr>
          <w:p>
            <w:pPr>
              <w:spacing w:after="0"/>
              <w:rPr>
                <w:sz w:val="1"/>
                <w:szCs w:val="1"/>
                <w:color w:val="auto"/>
              </w:rPr>
            </w:pPr>
          </w:p>
        </w:tc>
      </w:tr>
      <w:tr>
        <w:trPr>
          <w:trHeight w:val="121"/>
        </w:trPr>
        <w:tc>
          <w:tcPr>
            <w:tcW w:w="66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62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66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Minimum Quarterly Distribution</w:t>
            </w:r>
          </w:p>
        </w:tc>
        <w:tc>
          <w:tcPr>
            <w:tcW w:w="228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$1.6275</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ind w:left="400"/>
              <w:spacing w:after="0" w:line="193" w:lineRule="exact"/>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right="157"/>
              <w:spacing w:after="0" w:line="193" w:lineRule="exact"/>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00"/>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First Target Distribution</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up to $1.6975</w:t>
            </w:r>
          </w:p>
        </w:tc>
        <w:tc>
          <w:tcPr>
            <w:tcW w:w="1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0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Target Distribution</w:t>
            </w:r>
          </w:p>
        </w:tc>
        <w:tc>
          <w:tcPr>
            <w:tcW w:w="2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above $1.6975 up to $1.8725</w:t>
            </w: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157"/>
              <w:spacing w:after="0"/>
              <w:rPr>
                <w:sz w:val="20"/>
                <w:szCs w:val="20"/>
                <w:color w:val="auto"/>
              </w:rPr>
            </w:pPr>
            <w:r>
              <w:rPr>
                <w:rFonts w:ascii="Times New Roman" w:cs="Times New Roman" w:eastAsia="Times New Roman" w:hAnsi="Times New Roman"/>
                <w:sz w:val="17"/>
                <w:szCs w:val="17"/>
                <w:color w:val="auto"/>
                <w:w w:val="96"/>
              </w:rPr>
              <w:t>15%</w:t>
            </w:r>
          </w:p>
        </w:tc>
        <w:tc>
          <w:tcPr>
            <w:tcW w:w="0" w:type="dxa"/>
            <w:vAlign w:val="bottom"/>
          </w:tcPr>
          <w:p>
            <w:pPr>
              <w:spacing w:after="0"/>
              <w:rPr>
                <w:sz w:val="1"/>
                <w:szCs w:val="1"/>
                <w:color w:val="auto"/>
              </w:rPr>
            </w:pPr>
          </w:p>
        </w:tc>
      </w:tr>
      <w:tr>
        <w:trPr>
          <w:trHeight w:val="200"/>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Third Target Distribution</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above $1.8725 up to $2.0475</w:t>
            </w:r>
          </w:p>
        </w:tc>
        <w:tc>
          <w:tcPr>
            <w:tcW w:w="1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6"/>
              </w:rPr>
              <w:t>25%</w:t>
            </w:r>
          </w:p>
        </w:tc>
        <w:tc>
          <w:tcPr>
            <w:tcW w:w="0" w:type="dxa"/>
            <w:vAlign w:val="bottom"/>
          </w:tcPr>
          <w:p>
            <w:pPr>
              <w:spacing w:after="0"/>
              <w:rPr>
                <w:sz w:val="1"/>
                <w:szCs w:val="1"/>
                <w:color w:val="auto"/>
              </w:rPr>
            </w:pPr>
          </w:p>
        </w:tc>
      </w:tr>
      <w:tr>
        <w:trPr>
          <w:trHeight w:val="20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2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above $2.0475</w:t>
            </w: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157"/>
              <w:spacing w:after="0"/>
              <w:rPr>
                <w:sz w:val="20"/>
                <w:szCs w:val="20"/>
                <w:color w:val="auto"/>
              </w:rPr>
            </w:pPr>
            <w:r>
              <w:rPr>
                <w:rFonts w:ascii="Times New Roman" w:cs="Times New Roman" w:eastAsia="Times New Roman" w:hAnsi="Times New Roman"/>
                <w:sz w:val="17"/>
                <w:szCs w:val="17"/>
                <w:color w:val="auto"/>
                <w:w w:val="96"/>
              </w:rPr>
              <w:t>35%</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Following the 2014’s annual general meeting, CGP unilaterally notified the Partnership that it has decided to waive its rights to receive quarterly incentive distributions between $1.6975 and $1.75. This waiver effectively increases the First Target Distribution and the lower band of the Second Target Distribution (as referenced in the table above) from $1.6975 to $1.75.</w:t>
      </w:r>
    </w:p>
    <w:p>
      <w:pPr>
        <w:spacing w:after="0" w:line="2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Distributions of Available Cash from Operating Surplus: </w:t>
      </w:r>
      <w:r>
        <w:rPr>
          <w:rFonts w:ascii="Times New Roman" w:cs="Times New Roman" w:eastAsia="Times New Roman" w:hAnsi="Times New Roman"/>
          <w:sz w:val="17"/>
          <w:szCs w:val="17"/>
          <w:color w:val="auto"/>
        </w:rPr>
        <w:t>Our Partnership Agreement requires that we make distributions of available cash from operating surplus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any quarter after the subordination period in the following manner assuming that the Partnership’s general partner maintains a 2% general partner interest:</w:t>
      </w:r>
    </w:p>
    <w:p>
      <w:pPr>
        <w:spacing w:after="0" w:line="317" w:lineRule="exact"/>
        <w:rPr>
          <w:sz w:val="20"/>
          <w:szCs w:val="20"/>
          <w:color w:val="auto"/>
        </w:rPr>
      </w:pPr>
    </w:p>
    <w:p>
      <w:pPr>
        <w:ind w:left="680" w:hanging="116"/>
        <w:spacing w:after="0" w:line="256" w:lineRule="auto"/>
        <w:tabs>
          <w:tab w:leader="none" w:pos="6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98% to all unit holders, pro rata, and 2% to our general partner, until we distribute for each outstanding unit an amount equal to the minimum quarterly distribution for that quarter; and</w:t>
      </w:r>
    </w:p>
    <w:p>
      <w:pPr>
        <w:ind w:left="680" w:hanging="116"/>
        <w:spacing w:after="0"/>
        <w:tabs>
          <w:tab w:leader="none" w:pos="6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in the manner described in the above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Units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12, 2022, the Partnership transferred 505,204 common units to CMTC out of the Partnership’s Treasury units with a value at the time of transfer of $6,583, in connection with the acquisition of the M/V Manzanillo Express from CMTC (Notes 4, 5).</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September 3, 2021, the Partnership issued 1,153,846 common units to CGC, as part of the consideration for the acquisition of the LNG/C Aristos I and the LNG/C Aristarchos (Notes 4, 5).</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January 25, 2021, the Partnership’s Board of Directors approved a unit repurchase plan for an amount of $30,000 to be used for repurchasing the Partnership’s common units over the period of up to two years through January 2023. The Partnership could repurchase these units in the open market or in privately negotiated transactions, at times and prices that were considered to be appropriate by the Partnership. For the years ended December 31, 2022 and 2021, the Partnership completed the repurchase of 389,962 and 382,250 units paying an average price per unit of $15.13 and $11.74 plus repurchasing expenses, respectively. These units are held as treasury units and are recorded as a reduction in the Partnership’s Partners’ Capital as of December 31,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26, 2023, the Partnership’s Board of Directors authorized a new unit repurchase plan, replacing the earlier plan (the “Repurchase Plan”) (Note 16).</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2022, the Partnership reserve for issuance a maximum number of 750,000 restricted common units. As a result, the total number of restricted common units reserved and issued is 1,045,000 under its Omnibus Incentive Compensation Plan (Note 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and 2021 our partners’ capital included the following units: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As of December 31,</w:t>
            </w:r>
          </w:p>
        </w:tc>
      </w:tr>
      <w:tr>
        <w:trPr>
          <w:trHeight w:val="221"/>
        </w:trPr>
        <w:tc>
          <w:tcPr>
            <w:tcW w:w="3540" w:type="dxa"/>
            <w:vAlign w:val="bottom"/>
          </w:tcPr>
          <w:p>
            <w:pPr>
              <w:spacing w:after="0"/>
              <w:rPr>
                <w:sz w:val="19"/>
                <w:szCs w:val="19"/>
                <w:color w:val="auto"/>
              </w:rPr>
            </w:pPr>
          </w:p>
        </w:tc>
        <w:tc>
          <w:tcPr>
            <w:tcW w:w="63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3"/>
        </w:trPr>
        <w:tc>
          <w:tcPr>
            <w:tcW w:w="3540" w:type="dxa"/>
            <w:vAlign w:val="bottom"/>
            <w:tcBorders>
              <w:top w:val="single" w:sz="8" w:color="CCECFF"/>
            </w:tcBorders>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Common units</w:t>
            </w:r>
          </w:p>
        </w:tc>
        <w:tc>
          <w:tcPr>
            <w:tcW w:w="4820" w:type="dxa"/>
            <w:vAlign w:val="bottom"/>
            <w:tcBorders>
              <w:top w:val="single" w:sz="8" w:color="CCECFF"/>
            </w:tcBorders>
            <w:shd w:val="clear" w:color="auto" w:fill="CCECFF"/>
          </w:tcPr>
          <w:p>
            <w:pPr>
              <w:spacing w:after="0"/>
              <w:rPr>
                <w:sz w:val="16"/>
                <w:szCs w:val="16"/>
                <w:color w:val="auto"/>
              </w:rPr>
            </w:pPr>
          </w:p>
        </w:tc>
        <w:tc>
          <w:tcPr>
            <w:tcW w:w="1400" w:type="dxa"/>
            <w:vAlign w:val="bottom"/>
            <w:tcBorders>
              <w:top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20,255,707</w:t>
            </w:r>
          </w:p>
        </w:tc>
        <w:tc>
          <w:tcPr>
            <w:tcW w:w="100" w:type="dxa"/>
            <w:vAlign w:val="bottom"/>
            <w:tcBorders>
              <w:top w:val="single" w:sz="8" w:color="CCECFF"/>
            </w:tcBorders>
            <w:shd w:val="clear" w:color="auto" w:fill="CCECFF"/>
          </w:tcPr>
          <w:p>
            <w:pPr>
              <w:spacing w:after="0"/>
              <w:rPr>
                <w:sz w:val="16"/>
                <w:szCs w:val="16"/>
                <w:color w:val="auto"/>
              </w:rPr>
            </w:pPr>
          </w:p>
        </w:tc>
        <w:tc>
          <w:tcPr>
            <w:tcW w:w="1380" w:type="dxa"/>
            <w:vAlign w:val="bottom"/>
            <w:tcBorders>
              <w:top w:val="single" w:sz="8" w:color="auto"/>
            </w:tcBorders>
            <w:gridSpan w:val="3"/>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19,394,696</w:t>
            </w:r>
          </w:p>
        </w:tc>
      </w:tr>
      <w:tr>
        <w:trPr>
          <w:trHeight w:val="200"/>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 units</w:t>
            </w:r>
          </w:p>
        </w:tc>
        <w:tc>
          <w:tcPr>
            <w:tcW w:w="63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348,570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348,570</w:t>
            </w:r>
          </w:p>
        </w:tc>
      </w:tr>
      <w:tr>
        <w:trPr>
          <w:trHeight w:val="200"/>
        </w:trPr>
        <w:tc>
          <w:tcPr>
            <w:tcW w:w="35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Treasury Units</w:t>
            </w:r>
          </w:p>
        </w:tc>
        <w:tc>
          <w:tcPr>
            <w:tcW w:w="63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7"/>
                <w:szCs w:val="17"/>
                <w:color w:val="auto"/>
              </w:rPr>
              <w:t>566,239</w:t>
            </w:r>
          </w:p>
        </w:tc>
        <w:tc>
          <w:tcPr>
            <w:tcW w:w="13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382,250</w:t>
            </w:r>
          </w:p>
        </w:tc>
      </w:tr>
      <w:tr>
        <w:trPr>
          <w:trHeight w:val="198"/>
        </w:trPr>
        <w:tc>
          <w:tcPr>
            <w:tcW w:w="354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partnership units</w:t>
            </w:r>
          </w:p>
        </w:tc>
        <w:tc>
          <w:tcPr>
            <w:tcW w:w="48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21,170,516</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20,125,516</w:t>
            </w:r>
          </w:p>
        </w:tc>
      </w:tr>
      <w:tr>
        <w:trPr>
          <w:trHeight w:val="639"/>
        </w:trPr>
        <w:tc>
          <w:tcPr>
            <w:tcW w:w="3540" w:type="dxa"/>
            <w:vAlign w:val="bottom"/>
          </w:tcPr>
          <w:p>
            <w:pPr>
              <w:spacing w:after="0"/>
              <w:rPr>
                <w:sz w:val="24"/>
                <w:szCs w:val="24"/>
                <w:color w:val="auto"/>
              </w:rPr>
            </w:pPr>
          </w:p>
        </w:tc>
        <w:tc>
          <w:tcPr>
            <w:tcW w:w="632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F- 27</w:t>
            </w:r>
          </w:p>
        </w:tc>
        <w:tc>
          <w:tcPr>
            <w:tcW w:w="16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000EE"/>
                <w:w w:val="95"/>
              </w:rPr>
              <w:t>Table of Contents</w:t>
            </w:r>
          </w:p>
        </w:tc>
      </w:tr>
      <w:tr>
        <w:trPr>
          <w:trHeight w:val="20"/>
        </w:trPr>
        <w:tc>
          <w:tcPr>
            <w:tcW w:w="35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21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Omnibus Incentive Compensation Plan</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January 2022, the board of directors adopted an amended and restated Compensation Plan (the “Plan”), to reserve for issuance a maximum number of 750,000 restricted common units. As a result, the total number of restricted common units reserved and issued is 1,045,000. On March 18, 2022, the Partnership awarded 743,800 unvested units to Employees and Non-Employees with a grant-date fair value of $15.18 per unit. Awards granted to certain Employees and Non-Employees would vest in three equal installments. One third of the units awarded, namely 247,933 units vested on December 31, 2022. On December 30, 2022, the Partnership awarded 1,969 unvested units with a grant-date fair value of $13.65 per unit. The units were fully vested on December 31, 2022.</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unvested units accrue distributions as declared and paid, which distributions are retained by the custodian of the Plan until the vesting date at which time they are payable to the grantee. As unvested unit grantees accrue distributions on awards that are expected to vest, such distributions are charged to Partners’ capital. As of December 31, 2022 the unvested units accrued $223 of distributions.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forfeitures of awards during the years ended December 31, 2022 and 2021. The Partnership estimated the forfeitures of unvested units to be immaterial.</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the years ended December 31, 2022, 2021 and 2020 the equity compensation expense included in “General and administrative expenses” in the consolidated statements of comprehensive income was $3,790, $2,043 and $2,049, respectively. As of December 31, 2022 the total compensation cost relating to non-vested awards was $7,528 and is expected to be recognized over a period of two years. The Partnership uses the straight-line method to recognize the cost of the awards.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contains details of our plan:</w:t>
            </w:r>
          </w:p>
        </w:tc>
        <w:tc>
          <w:tcPr>
            <w:tcW w:w="2460" w:type="dxa"/>
            <w:vAlign w:val="bottom"/>
            <w:gridSpan w:val="4"/>
            <w:vMerge w:val="restart"/>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Equity compensation plan</w:t>
            </w:r>
          </w:p>
        </w:tc>
        <w:tc>
          <w:tcPr>
            <w:tcW w:w="0" w:type="dxa"/>
            <w:vAlign w:val="bottom"/>
          </w:tcPr>
          <w:p>
            <w:pPr>
              <w:spacing w:after="0"/>
              <w:rPr>
                <w:sz w:val="1"/>
                <w:szCs w:val="1"/>
                <w:color w:val="auto"/>
              </w:rPr>
            </w:pPr>
          </w:p>
        </w:tc>
      </w:tr>
      <w:tr>
        <w:trPr>
          <w:trHeight w:val="200"/>
        </w:trPr>
        <w:tc>
          <w:tcPr>
            <w:tcW w:w="8780" w:type="dxa"/>
            <w:vAlign w:val="bottom"/>
          </w:tcPr>
          <w:p>
            <w:pPr>
              <w:spacing w:after="0"/>
              <w:rPr>
                <w:sz w:val="17"/>
                <w:szCs w:val="17"/>
                <w:color w:val="auto"/>
              </w:rPr>
            </w:pPr>
          </w:p>
        </w:tc>
        <w:tc>
          <w:tcPr>
            <w:tcW w:w="2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8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Unvested Units</w:t>
            </w:r>
          </w:p>
        </w:tc>
        <w:tc>
          <w:tcPr>
            <w:tcW w:w="1240" w:type="dxa"/>
            <w:vAlign w:val="bottom"/>
            <w:gridSpan w:val="2"/>
            <w:shd w:val="clear" w:color="auto" w:fill="CCECFF"/>
          </w:tcPr>
          <w:p>
            <w:pPr>
              <w:ind w:left="74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36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193"/>
        </w:trPr>
        <w:tc>
          <w:tcPr>
            <w:tcW w:w="8780" w:type="dxa"/>
            <w:vAlign w:val="bottom"/>
            <w:tcBorders>
              <w:bottom w:val="single" w:sz="8" w:color="CCEC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Unvested on January 1, 2021</w:t>
            </w:r>
          </w:p>
        </w:tc>
        <w:tc>
          <w:tcPr>
            <w:tcW w:w="11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412,916</w:t>
            </w:r>
          </w:p>
        </w:tc>
        <w:tc>
          <w:tcPr>
            <w:tcW w:w="120" w:type="dxa"/>
            <w:vAlign w:val="bottom"/>
            <w:tcBorders>
              <w:bottom w:val="single" w:sz="8" w:color="CCEC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4,637</w:t>
            </w:r>
          </w:p>
        </w:tc>
        <w:tc>
          <w:tcPr>
            <w:tcW w:w="0" w:type="dxa"/>
            <w:vAlign w:val="bottom"/>
          </w:tcPr>
          <w:p>
            <w:pPr>
              <w:spacing w:after="0"/>
              <w:rPr>
                <w:sz w:val="1"/>
                <w:szCs w:val="1"/>
                <w:color w:val="auto"/>
              </w:rPr>
            </w:pPr>
          </w:p>
        </w:tc>
      </w:tr>
      <w:tr>
        <w:trPr>
          <w:trHeight w:val="193"/>
        </w:trPr>
        <w:tc>
          <w:tcPr>
            <w:tcW w:w="878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Vested</w:t>
            </w:r>
          </w:p>
        </w:tc>
        <w:tc>
          <w:tcPr>
            <w:tcW w:w="112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(412,916)</w:t>
            </w:r>
          </w:p>
        </w:tc>
        <w:tc>
          <w:tcPr>
            <w:tcW w:w="120" w:type="dxa"/>
            <w:vAlign w:val="bottom"/>
            <w:shd w:val="clear" w:color="auto" w:fill="CCECFF"/>
          </w:tcPr>
          <w:p>
            <w:pPr>
              <w:spacing w:after="0"/>
              <w:rPr>
                <w:sz w:val="16"/>
                <w:szCs w:val="16"/>
                <w:color w:val="auto"/>
              </w:rPr>
            </w:pPr>
          </w:p>
        </w:tc>
        <w:tc>
          <w:tcPr>
            <w:tcW w:w="360" w:type="dxa"/>
            <w:vAlign w:val="bottom"/>
            <w:tcBorders>
              <w:bottom w:val="single" w:sz="8" w:color="auto"/>
            </w:tcBorders>
            <w:shd w:val="clear" w:color="auto" w:fill="CCECFF"/>
          </w:tcPr>
          <w:p>
            <w:pPr>
              <w:spacing w:after="0"/>
              <w:rPr>
                <w:sz w:val="16"/>
                <w:szCs w:val="16"/>
                <w:color w:val="auto"/>
              </w:rPr>
            </w:pPr>
          </w:p>
        </w:tc>
        <w:tc>
          <w:tcPr>
            <w:tcW w:w="86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(4,637)</w:t>
            </w:r>
          </w:p>
        </w:tc>
        <w:tc>
          <w:tcPr>
            <w:tcW w:w="0" w:type="dxa"/>
            <w:vAlign w:val="bottom"/>
          </w:tcPr>
          <w:p>
            <w:pPr>
              <w:spacing w:after="0"/>
              <w:rPr>
                <w:sz w:val="1"/>
                <w:szCs w:val="1"/>
                <w:color w:val="auto"/>
              </w:rPr>
            </w:pPr>
          </w:p>
        </w:tc>
      </w:tr>
      <w:tr>
        <w:trPr>
          <w:trHeight w:val="193"/>
        </w:trPr>
        <w:tc>
          <w:tcPr>
            <w:tcW w:w="8780" w:type="dxa"/>
            <w:vAlign w:val="bottom"/>
            <w:tcBorders>
              <w:bottom w:val="single" w:sz="8" w:color="CCEC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Unvested on December 31, 2021</w:t>
            </w:r>
          </w:p>
        </w:tc>
        <w:tc>
          <w:tcPr>
            <w:tcW w:w="1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CFF"/>
            </w:tcBorders>
          </w:tcPr>
          <w:p>
            <w:pPr>
              <w:spacing w:after="0"/>
              <w:rPr>
                <w:sz w:val="16"/>
                <w:szCs w:val="16"/>
                <w:color w:val="auto"/>
              </w:rPr>
            </w:pPr>
          </w:p>
        </w:tc>
        <w:tc>
          <w:tcPr>
            <w:tcW w:w="360" w:type="dxa"/>
            <w:vAlign w:val="bottom"/>
            <w:tcBorders>
              <w:bottom w:val="single" w:sz="8" w:color="auto"/>
            </w:tcBorders>
          </w:tcPr>
          <w:p>
            <w:pPr>
              <w:jc w:val="right"/>
              <w:ind w:right="1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3"/>
        </w:trPr>
        <w:tc>
          <w:tcPr>
            <w:tcW w:w="878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color w:val="auto"/>
              </w:rPr>
              <w:t>Granted</w:t>
            </w:r>
          </w:p>
        </w:tc>
        <w:tc>
          <w:tcPr>
            <w:tcW w:w="112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745,769</w:t>
            </w:r>
          </w:p>
        </w:tc>
        <w:tc>
          <w:tcPr>
            <w:tcW w:w="1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11,318</w:t>
            </w:r>
          </w:p>
        </w:tc>
        <w:tc>
          <w:tcPr>
            <w:tcW w:w="0" w:type="dxa"/>
            <w:vAlign w:val="bottom"/>
          </w:tcPr>
          <w:p>
            <w:pPr>
              <w:spacing w:after="0"/>
              <w:rPr>
                <w:sz w:val="1"/>
                <w:szCs w:val="1"/>
                <w:color w:val="auto"/>
              </w:rPr>
            </w:pPr>
          </w:p>
        </w:tc>
      </w:tr>
      <w:tr>
        <w:trPr>
          <w:trHeight w:val="200"/>
        </w:trPr>
        <w:tc>
          <w:tcPr>
            <w:tcW w:w="87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7"/>
                <w:szCs w:val="17"/>
                <w:color w:val="auto"/>
              </w:rPr>
              <w:t>Vested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(249,902)</w:t>
            </w:r>
          </w:p>
        </w:tc>
        <w:tc>
          <w:tcPr>
            <w:tcW w:w="12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0" w:type="dxa"/>
            <w:vAlign w:val="bottom"/>
          </w:tcPr>
          <w:p>
            <w:pPr>
              <w:spacing w:after="0"/>
              <w:rPr>
                <w:sz w:val="1"/>
                <w:szCs w:val="1"/>
                <w:color w:val="auto"/>
              </w:rPr>
            </w:pPr>
          </w:p>
        </w:tc>
      </w:tr>
      <w:tr>
        <w:trPr>
          <w:trHeight w:val="193"/>
        </w:trPr>
        <w:tc>
          <w:tcPr>
            <w:tcW w:w="8780" w:type="dxa"/>
            <w:vAlign w:val="bottom"/>
            <w:shd w:val="clear" w:color="auto" w:fill="CCEC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Unvested on December 31, 2022</w:t>
            </w:r>
          </w:p>
        </w:tc>
        <w:tc>
          <w:tcPr>
            <w:tcW w:w="112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495,867</w:t>
            </w:r>
          </w:p>
        </w:tc>
        <w:tc>
          <w:tcPr>
            <w:tcW w:w="120" w:type="dxa"/>
            <w:vAlign w:val="bottom"/>
            <w:shd w:val="clear" w:color="auto" w:fill="CCECFF"/>
          </w:tcPr>
          <w:p>
            <w:pPr>
              <w:spacing w:after="0"/>
              <w:rPr>
                <w:sz w:val="16"/>
                <w:szCs w:val="16"/>
                <w:color w:val="auto"/>
              </w:rPr>
            </w:pPr>
          </w:p>
        </w:tc>
        <w:tc>
          <w:tcPr>
            <w:tcW w:w="360" w:type="dxa"/>
            <w:vAlign w:val="bottom"/>
            <w:tcBorders>
              <w:bottom w:val="single" w:sz="8" w:color="auto"/>
            </w:tcBorders>
            <w:shd w:val="clear" w:color="auto" w:fill="CCECFF"/>
          </w:tcPr>
          <w:p>
            <w:pPr>
              <w:jc w:val="right"/>
              <w:ind w:right="19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C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7,528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Net Income Per Unit</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Under the Partnership Agreement, the holder of the IDRs in the Partnership, which is currently CGP, assuming that there are no cumulative arrearages on common unit distributions, has the right to receive an increasing percentage of cash distributions (Note 12).</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2022, the Partnership excluded the effect of 745,769 non-vested unit awards, from which 249,902 vested on December 31, 2022, in calculating dilutive EPU for its common unitholders as they were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2021, the Partnership excluded the effect of 412,916 units, which vested on December 31, 2021, as they were anti-dilutive.</w:t>
      </w:r>
    </w:p>
    <w:p>
      <w:pPr>
        <w:spacing w:after="0" w:line="306"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F- 28</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Net Income Per Unit - Continued</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2020, the Partnership excluded the effect of 412,916, unvested units under the omnibus incentive compensation plan in calculating dilutive EPU for its common unit holders as they were anti-dilutive.</w:t>
      </w:r>
    </w:p>
    <w:p>
      <w:pPr>
        <w:spacing w:after="0" w:line="15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non-vested units are participating securities because they received distributions from the Partnership and these distributions did not have to be returned to the Partnership if the non-vested units were forfeited by the grantee.</w:t>
      </w:r>
    </w:p>
    <w:p>
      <w:pPr>
        <w:spacing w:after="0" w:line="15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Partnership’s net income for the years ended December 31, 2022, 2021 and 2020 did not exceed the First Target Distribution Level, and as a result, the assumed distribution of net income did not result in the use of increasing percentages to calculate CGP’s interest in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two-class method used to calculate EPU from continuing operations is as follows: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63"/>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BASIC AND DILUTED</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
        </w:trPr>
        <w:tc>
          <w:tcPr>
            <w:tcW w:w="1720" w:type="dxa"/>
            <w:vAlign w:val="bottom"/>
            <w:tcBorders>
              <w:top w:val="single" w:sz="8" w:color="auto"/>
              <w:bottom w:val="single" w:sz="8" w:color="CCECFF"/>
            </w:tcBorders>
          </w:tcPr>
          <w:p>
            <w:pPr>
              <w:spacing w:after="0" w:line="20" w:lineRule="exact"/>
              <w:rPr>
                <w:sz w:val="1"/>
                <w:szCs w:val="1"/>
                <w:color w:val="auto"/>
              </w:rPr>
            </w:pPr>
          </w:p>
        </w:tc>
        <w:tc>
          <w:tcPr>
            <w:tcW w:w="4820" w:type="dxa"/>
            <w:vAlign w:val="bottom"/>
            <w:tcBorders>
              <w:bottom w:val="single" w:sz="8" w:color="CCECFF"/>
            </w:tcBorders>
          </w:tcPr>
          <w:p>
            <w:pPr>
              <w:spacing w:after="0" w:line="20" w:lineRule="exact"/>
              <w:rPr>
                <w:sz w:val="1"/>
                <w:szCs w:val="1"/>
                <w:color w:val="auto"/>
              </w:rPr>
            </w:pPr>
          </w:p>
        </w:tc>
        <w:tc>
          <w:tcPr>
            <w:tcW w:w="780" w:type="dxa"/>
            <w:vAlign w:val="bottom"/>
            <w:tcBorders>
              <w:bottom w:val="single" w:sz="8" w:color="CCEC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CFF"/>
            </w:tcBorders>
          </w:tcPr>
          <w:p>
            <w:pPr>
              <w:spacing w:after="0" w:line="20" w:lineRule="exact"/>
              <w:rPr>
                <w:sz w:val="1"/>
                <w:szCs w:val="1"/>
                <w:color w:val="auto"/>
              </w:rPr>
            </w:pPr>
          </w:p>
        </w:tc>
        <w:tc>
          <w:tcPr>
            <w:tcW w:w="40" w:type="dxa"/>
            <w:vAlign w:val="bottom"/>
            <w:tcBorders>
              <w:bottom w:val="single" w:sz="8" w:color="CCEC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C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1"/>
        </w:trPr>
        <w:tc>
          <w:tcPr>
            <w:tcW w:w="6540" w:type="dxa"/>
            <w:vAlign w:val="bottom"/>
            <w:gridSpan w:val="2"/>
            <w:shd w:val="clear" w:color="auto" w:fill="CCEC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Numerators</w:t>
            </w:r>
          </w:p>
        </w:tc>
        <w:tc>
          <w:tcPr>
            <w:tcW w:w="7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r>
      <w:tr>
        <w:trPr>
          <w:trHeight w:val="200"/>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Partnership’s net income</w:t>
            </w:r>
          </w:p>
        </w:tc>
        <w:tc>
          <w:tcPr>
            <w:tcW w:w="106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125,421</w:t>
            </w:r>
          </w:p>
        </w:tc>
        <w:tc>
          <w:tcPr>
            <w:tcW w:w="3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98,178</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30,367</w:t>
            </w:r>
          </w:p>
        </w:tc>
      </w:tr>
      <w:tr>
        <w:trPr>
          <w:trHeight w:val="200"/>
        </w:trPr>
        <w:tc>
          <w:tcPr>
            <w:tcW w:w="6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Less:</w:t>
            </w:r>
          </w:p>
        </w:tc>
        <w:tc>
          <w:tcPr>
            <w:tcW w:w="7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r>
      <w:tr>
        <w:trPr>
          <w:trHeight w:val="200"/>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Partner’s interest in Partnership’s net income</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2,157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r>
      <w:tr>
        <w:trPr>
          <w:trHeight w:val="200"/>
        </w:trPr>
        <w:tc>
          <w:tcPr>
            <w:tcW w:w="6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Partnership’s net income allocable to unvested units</w:t>
            </w:r>
          </w:p>
        </w:tc>
        <w:tc>
          <w:tcPr>
            <w:tcW w:w="7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3,662</w:t>
            </w: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00"/>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unit holders’ interest in Partnership’s net income</w:t>
            </w:r>
          </w:p>
        </w:tc>
        <w:tc>
          <w:tcPr>
            <w:tcW w:w="106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119,602</w:t>
            </w:r>
          </w:p>
        </w:tc>
        <w:tc>
          <w:tcPr>
            <w:tcW w:w="3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94,335</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29,124</w:t>
            </w:r>
          </w:p>
        </w:tc>
      </w:tr>
      <w:tr>
        <w:trPr>
          <w:trHeight w:val="200"/>
        </w:trPr>
        <w:tc>
          <w:tcPr>
            <w:tcW w:w="6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Denominators</w:t>
            </w:r>
          </w:p>
        </w:tc>
        <w:tc>
          <w:tcPr>
            <w:tcW w:w="7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r>
      <w:tr>
        <w:trPr>
          <w:trHeight w:val="200"/>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number of common units outstanding, basic and diluted</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19,325,030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18,342,413</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18,194,186</w:t>
            </w:r>
          </w:p>
        </w:tc>
      </w:tr>
      <w:tr>
        <w:trPr>
          <w:trHeight w:val="200"/>
        </w:trPr>
        <w:tc>
          <w:tcPr>
            <w:tcW w:w="6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780" w:type="dxa"/>
            <w:vAlign w:val="bottom"/>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940" w:type="dxa"/>
            <w:vAlign w:val="bottom"/>
            <w:tcBorders>
              <w:bottom w:val="single" w:sz="8" w:color="auto"/>
            </w:tcBorders>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40" w:type="dxa"/>
            <w:vAlign w:val="bottom"/>
            <w:tcBorders>
              <w:bottom w:val="single" w:sz="8" w:color="auto"/>
            </w:tcBorders>
            <w:shd w:val="clear" w:color="auto" w:fill="CCECFF"/>
          </w:tcPr>
          <w:p>
            <w:pPr>
              <w:spacing w:after="0"/>
              <w:rPr>
                <w:sz w:val="17"/>
                <w:szCs w:val="17"/>
                <w:color w:val="auto"/>
              </w:rPr>
            </w:pPr>
          </w:p>
        </w:tc>
      </w:tr>
      <w:tr>
        <w:trPr>
          <w:trHeight w:val="193"/>
        </w:trPr>
        <w:tc>
          <w:tcPr>
            <w:tcW w:w="654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Basic and Diluted</w:t>
            </w:r>
          </w:p>
        </w:tc>
        <w:tc>
          <w:tcPr>
            <w:tcW w:w="780" w:type="dxa"/>
            <w:vAlign w:val="bottom"/>
          </w:tcPr>
          <w:p>
            <w:pPr>
              <w:spacing w:after="0"/>
              <w:rPr>
                <w:sz w:val="16"/>
                <w:szCs w:val="16"/>
                <w:color w:val="auto"/>
              </w:rPr>
            </w:pPr>
          </w:p>
        </w:tc>
        <w:tc>
          <w:tcPr>
            <w:tcW w:w="28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6.19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5.14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1.60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w:t>
      </w:r>
    </w:p>
    <w:p>
      <w:pPr>
        <w:spacing w:after="0" w:line="3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Partnership accrues the cost of environmental liabilities when management becomes aware that a liability is probable and is able to reasonably estimate the probable exposure.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estimated loss from a contingency should be accrued by a charge to expense and a liability recorded only if all of the following conditions are met:</w:t>
      </w:r>
    </w:p>
    <w:p>
      <w:pPr>
        <w:spacing w:after="0" w:line="381" w:lineRule="exact"/>
        <w:rPr>
          <w:sz w:val="20"/>
          <w:szCs w:val="20"/>
          <w:color w:val="auto"/>
        </w:rPr>
      </w:pPr>
    </w:p>
    <w:p>
      <w:pPr>
        <w:ind w:left="680" w:hanging="116"/>
        <w:spacing w:after="0" w:line="256" w:lineRule="auto"/>
        <w:tabs>
          <w:tab w:leader="none" w:pos="6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available prior to the issuance of the financial statement indicates that it is probable that a liability has been incurred at the date of the financial statements.</w:t>
      </w:r>
    </w:p>
    <w:p>
      <w:pPr>
        <w:ind w:left="680" w:hanging="116"/>
        <w:spacing w:after="0"/>
        <w:tabs>
          <w:tab w:leader="none" w:pos="6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loss can be reasonably estimated.</w:t>
      </w:r>
    </w:p>
    <w:p>
      <w:pPr>
        <w:spacing w:after="0" w:line="37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Currently, the Partnership is not aware of any such claims or contingent liabilities which should be disclosed or for which a provision should be established in the consolidated financial statements.</w:t>
      </w:r>
    </w:p>
    <w:p>
      <w:pPr>
        <w:spacing w:after="0" w:line="258"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F- 29</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Capital Product Partners L.</w:t>
      </w:r>
      <w:r>
        <w:rPr>
          <w:rFonts w:ascii="Times New Roman" w:cs="Times New Roman" w:eastAsia="Times New Roman" w:hAnsi="Times New Roman"/>
          <w:sz w:val="17"/>
          <w:szCs w:val="17"/>
          <w:color w:val="auto"/>
        </w:rPr>
        <w:t>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 -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205" w:lineRule="exact"/>
        <w:rPr>
          <w:sz w:val="20"/>
          <w:szCs w:val="20"/>
          <w:color w:val="auto"/>
        </w:rPr>
      </w:pPr>
    </w:p>
    <w:p>
      <w:pPr>
        <w:spacing w:after="0" w:line="277" w:lineRule="auto"/>
        <w:tabs>
          <w:tab w:leader="none" w:pos="243" w:val="left"/>
        </w:tabs>
        <w:numPr>
          <w:ilvl w:val="0"/>
          <w:numId w:val="14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Lease Commitments: </w:t>
      </w:r>
      <w:r>
        <w:rPr>
          <w:rFonts w:ascii="Times New Roman" w:cs="Times New Roman" w:eastAsia="Times New Roman" w:hAnsi="Times New Roman"/>
          <w:sz w:val="17"/>
          <w:szCs w:val="17"/>
          <w:color w:val="auto"/>
        </w:rPr>
        <w:t>Future minimum charter hire receipts, excluding any profit share revenue that may arise, based on non-cancellable time charter contracts,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December 31, 2022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3"/>
        </w:trPr>
        <w:tc>
          <w:tcPr>
            <w:tcW w:w="1002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267,528</w:t>
            </w: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232,017</w:t>
            </w: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165,569</w:t>
            </w: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98,334</w:t>
            </w: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95,404</w:t>
            </w:r>
          </w:p>
        </w:tc>
      </w:tr>
      <w:tr>
        <w:trPr>
          <w:trHeight w:val="200"/>
        </w:trPr>
        <w:tc>
          <w:tcPr>
            <w:tcW w:w="10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275,852</w:t>
            </w:r>
          </w:p>
        </w:tc>
      </w:tr>
      <w:tr>
        <w:trPr>
          <w:trHeight w:val="211"/>
        </w:trPr>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1,134,704</w:t>
            </w:r>
          </w:p>
        </w:tc>
      </w:tr>
    </w:tbl>
    <w:p>
      <w:pPr>
        <w:spacing w:after="0" w:line="180" w:lineRule="exact"/>
        <w:rPr>
          <w:sz w:val="20"/>
          <w:szCs w:val="20"/>
          <w:color w:val="auto"/>
        </w:rPr>
      </w:pPr>
    </w:p>
    <w:p>
      <w:pPr>
        <w:spacing w:after="0" w:line="277" w:lineRule="auto"/>
        <w:tabs>
          <w:tab w:leader="none" w:pos="255" w:val="left"/>
        </w:tabs>
        <w:numPr>
          <w:ilvl w:val="0"/>
          <w:numId w:val="15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Vessels’ Acquisitions Commitments: </w:t>
      </w:r>
      <w:r>
        <w:rPr>
          <w:rFonts w:ascii="Times New Roman" w:cs="Times New Roman" w:eastAsia="Times New Roman" w:hAnsi="Times New Roman"/>
          <w:sz w:val="17"/>
          <w:szCs w:val="17"/>
          <w:color w:val="auto"/>
        </w:rPr>
        <w:t>As of December 31, 2022, the Partnership had outstanding commitments relating to acquisitions of vessels, amounting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$451,000 and which are payable within the next twelve months and will be financed by debt and cash at hand (Notes 5, 16).</w:t>
      </w:r>
    </w:p>
    <w:p>
      <w:pPr>
        <w:spacing w:after="0" w:line="149" w:lineRule="exact"/>
        <w:rPr>
          <w:rFonts w:ascii="Times New Roman" w:cs="Times New Roman" w:eastAsia="Times New Roman" w:hAnsi="Times New Roman"/>
          <w:sz w:val="17"/>
          <w:szCs w:val="17"/>
          <w:b w:val="1"/>
          <w:bCs w:val="1"/>
          <w:i w:val="1"/>
          <w:iCs w:val="1"/>
          <w:color w:val="auto"/>
        </w:rPr>
      </w:pPr>
    </w:p>
    <w:p>
      <w:pPr>
        <w:spacing w:after="0" w:line="277" w:lineRule="auto"/>
        <w:tabs>
          <w:tab w:leader="none" w:pos="252" w:val="left"/>
        </w:tabs>
        <w:numPr>
          <w:ilvl w:val="0"/>
          <w:numId w:val="15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Vessels’ Equipment Commitments: </w:t>
      </w:r>
      <w:r>
        <w:rPr>
          <w:rFonts w:ascii="Times New Roman" w:cs="Times New Roman" w:eastAsia="Times New Roman" w:hAnsi="Times New Roman"/>
          <w:sz w:val="17"/>
          <w:szCs w:val="17"/>
          <w:color w:val="auto"/>
        </w:rPr>
        <w:t>As of December 31, 2022, the Partnership had outstanding commitments relating to the purchase of Scrubbers and BWT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systems on certain of its vessels, amounting to $5,009 and which are payable within the next twelve months.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Subsequent Events</w:t>
      </w:r>
    </w:p>
    <w:p>
      <w:pPr>
        <w:spacing w:after="0" w:line="205" w:lineRule="exact"/>
        <w:rPr>
          <w:sz w:val="20"/>
          <w:szCs w:val="20"/>
          <w:color w:val="auto"/>
        </w:rPr>
      </w:pPr>
    </w:p>
    <w:p>
      <w:pPr>
        <w:spacing w:after="0" w:line="277" w:lineRule="auto"/>
        <w:tabs>
          <w:tab w:leader="none" w:pos="236" w:val="left"/>
        </w:tabs>
        <w:numPr>
          <w:ilvl w:val="0"/>
          <w:numId w:val="15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On January 26, 2023, the board of directors of the Partnership declared a cash distribution of $0.15 per common unit for the fourth quarter of 2022.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fourth quarter common unit cash distribution was paid on February 10, 2023, to unit holders of record on February 7, 2023.</w:t>
      </w:r>
    </w:p>
    <w:p>
      <w:pPr>
        <w:spacing w:after="0" w:line="149" w:lineRule="exact"/>
        <w:rPr>
          <w:rFonts w:ascii="Times New Roman" w:cs="Times New Roman" w:eastAsia="Times New Roman" w:hAnsi="Times New Roman"/>
          <w:sz w:val="17"/>
          <w:szCs w:val="17"/>
          <w:b w:val="1"/>
          <w:bCs w:val="1"/>
          <w:i w:val="1"/>
          <w:iCs w:val="1"/>
          <w:color w:val="auto"/>
        </w:rPr>
      </w:pPr>
    </w:p>
    <w:p>
      <w:pPr>
        <w:jc w:val="both"/>
        <w:spacing w:after="0" w:line="261" w:lineRule="auto"/>
        <w:tabs>
          <w:tab w:leader="none" w:pos="251" w:val="left"/>
        </w:tabs>
        <w:numPr>
          <w:ilvl w:val="0"/>
          <w:numId w:val="15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Sale and lease back agreements: </w:t>
      </w:r>
      <w:r>
        <w:rPr>
          <w:rFonts w:ascii="Times New Roman" w:cs="Times New Roman" w:eastAsia="Times New Roman" w:hAnsi="Times New Roman"/>
          <w:sz w:val="17"/>
          <w:szCs w:val="17"/>
          <w:color w:val="auto"/>
        </w:rPr>
        <w:t>On February 7, 2023, the Partnership entered into a new sale and lease back agreement of up to $184,000, for the purpose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partially financing the acquisition of the shares of the company owning the LNG/C Asterix I (Note 5). The full amount of the sale and lease back agreement was drawn on February 17, 2023 and has a duration of 10 years.</w:t>
      </w:r>
    </w:p>
    <w:p>
      <w:pPr>
        <w:spacing w:after="0" w:line="1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March 14, 2023, the Partnership fully repaid the 2021 CMBFL - Panamax sale and lease back agreements, with original maturity in February 2026, amounting to $23,423.</w:t>
      </w:r>
    </w:p>
    <w:p>
      <w:pPr>
        <w:spacing w:after="0" w:line="154" w:lineRule="exact"/>
        <w:rPr>
          <w:sz w:val="20"/>
          <w:szCs w:val="20"/>
          <w:color w:val="auto"/>
        </w:rPr>
      </w:pPr>
    </w:p>
    <w:p>
      <w:pPr>
        <w:jc w:val="both"/>
        <w:spacing w:after="0" w:line="256" w:lineRule="auto"/>
        <w:tabs>
          <w:tab w:leader="none" w:pos="227" w:val="left"/>
        </w:tabs>
        <w:numPr>
          <w:ilvl w:val="0"/>
          <w:numId w:val="15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Vessel acquisitions: </w:t>
      </w:r>
      <w:r>
        <w:rPr>
          <w:rFonts w:ascii="Times New Roman" w:cs="Times New Roman" w:eastAsia="Times New Roman" w:hAnsi="Times New Roman"/>
          <w:sz w:val="17"/>
          <w:szCs w:val="17"/>
          <w:color w:val="auto"/>
        </w:rPr>
        <w:t>On January 10, 2023, the Partnership acquired from CMTC the shares of the company owning the M/V Itajai Express for a total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$122,500 which was funded through debt of $108,000 (Note 7), a cash deposit advanced in June 2022 (Note 5) and cash at hand. On February 17, 2023, the Partnership acquired from CMTC the shares of the company owning the LNG/C Asterix I, for a total consideration of $230,000 which was funded through debt of $184,000, a cash deposit advanced in June 2022 (Note 5) and cash at hand.</w:t>
      </w:r>
    </w:p>
    <w:p>
      <w:pPr>
        <w:spacing w:after="0" w:line="167" w:lineRule="exact"/>
        <w:rPr>
          <w:rFonts w:ascii="Times New Roman" w:cs="Times New Roman" w:eastAsia="Times New Roman" w:hAnsi="Times New Roman"/>
          <w:sz w:val="17"/>
          <w:szCs w:val="17"/>
          <w:b w:val="1"/>
          <w:bCs w:val="1"/>
          <w:i w:val="1"/>
          <w:iCs w:val="1"/>
          <w:color w:val="auto"/>
        </w:rPr>
      </w:pPr>
    </w:p>
    <w:p>
      <w:pPr>
        <w:jc w:val="both"/>
        <w:spacing w:after="0" w:line="256" w:lineRule="auto"/>
        <w:tabs>
          <w:tab w:leader="none" w:pos="236" w:val="left"/>
        </w:tabs>
        <w:numPr>
          <w:ilvl w:val="0"/>
          <w:numId w:val="15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New unit repurchase programme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January 26, 2023, the Partnership’s Board of Directors authorized a new Repurchase Plan. Pursuant to the Repurchase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Partnership may purchase up to $30,000 of its common units through January 2025, at times and prices that are considered by us to be appropriate. The Partnership expects to repurchase units under the Repurchase Plan in the open market or in privately negotiated transactions, but are not obligated under the terms of the Repurchase Plan to repurchase any units, and, at any time, may suspend, delay or discontinue the Repurchase Plan.</w:t>
      </w:r>
    </w:p>
    <w:p>
      <w:pPr>
        <w:spacing w:after="0" w:line="200" w:lineRule="exact"/>
        <w:rPr>
          <w:sz w:val="20"/>
          <w:szCs w:val="20"/>
          <w:color w:val="auto"/>
        </w:rPr>
      </w:pPr>
    </w:p>
    <w:p>
      <w:pPr>
        <w:spacing w:after="0" w:line="273" w:lineRule="exact"/>
        <w:rPr>
          <w:sz w:val="20"/>
          <w:szCs w:val="20"/>
          <w:color w:val="auto"/>
        </w:rPr>
      </w:pPr>
    </w:p>
    <w:p>
      <w:pPr>
        <w:ind w:left="5460"/>
        <w:spacing w:after="0"/>
        <w:tabs>
          <w:tab w:leader="none" w:pos="10000" w:val="left"/>
        </w:tabs>
        <w:rPr>
          <w:sz w:val="20"/>
          <w:szCs w:val="20"/>
          <w:color w:val="auto"/>
        </w:rPr>
      </w:pPr>
      <w:r>
        <w:rPr>
          <w:rFonts w:ascii="Times New Roman" w:cs="Times New Roman" w:eastAsia="Times New Roman" w:hAnsi="Times New Roman"/>
          <w:sz w:val="17"/>
          <w:szCs w:val="17"/>
          <w:color w:val="auto"/>
        </w:rPr>
        <w:t>F- 30</w:t>
      </w:r>
      <w:r>
        <w:rPr>
          <w:sz w:val="20"/>
          <w:szCs w:val="20"/>
          <w:color w:val="auto"/>
        </w:rPr>
        <w:tab/>
      </w: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219" w:right="339" w:bottom="1440" w:gutter="0" w:footer="0" w:header="0"/>
        </w:sectPr>
      </w:pPr>
    </w:p>
    <w:bookmarkStart w:id="128" w:name="page129"/>
    <w:bookmarkEnd w:id="128"/>
    <w:p>
      <w:pPr>
        <w:spacing w:after="0"/>
        <w:tabs>
          <w:tab w:leader="none" w:pos="100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24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UNDER SECTION 12 OF THE EXCHANGE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Capital Product Partners L.P. (the “Partnership,” “CPLP,” “we,” “us” or “our”) had the following series of securities registered pursuant to</w:t>
      </w:r>
    </w:p>
    <w:p>
      <w:pPr>
        <w:spacing w:after="0"/>
        <w:rPr>
          <w:sz w:val="20"/>
          <w:szCs w:val="20"/>
          <w:color w:val="auto"/>
        </w:rPr>
      </w:pPr>
      <w:r>
        <w:rPr>
          <w:rFonts w:ascii="Times New Roman" w:cs="Times New Roman" w:eastAsia="Times New Roman" w:hAnsi="Times New Roman"/>
          <w:sz w:val="17"/>
          <w:szCs w:val="17"/>
          <w:color w:val="auto"/>
        </w:rPr>
        <w:t>Section 12(b) of the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640" w:type="dxa"/>
            <w:vAlign w:val="bottom"/>
          </w:tcPr>
          <w:p>
            <w:pPr>
              <w:jc w:val="center"/>
              <w:ind w:left="197"/>
              <w:spacing w:after="0"/>
              <w:rPr>
                <w:sz w:val="20"/>
                <w:szCs w:val="20"/>
                <w:color w:val="auto"/>
              </w:rPr>
            </w:pPr>
            <w:r>
              <w:rPr>
                <w:rFonts w:ascii="Times New Roman" w:cs="Times New Roman" w:eastAsia="Times New Roman" w:hAnsi="Times New Roman"/>
                <w:sz w:val="17"/>
                <w:szCs w:val="17"/>
                <w:b w:val="1"/>
                <w:bCs w:val="1"/>
                <w:color w:val="auto"/>
                <w:w w:val="98"/>
              </w:rPr>
              <w:t>Name of each exchange on</w:t>
            </w:r>
          </w:p>
        </w:tc>
      </w:tr>
      <w:tr>
        <w:trPr>
          <w:trHeight w:val="221"/>
        </w:trPr>
        <w:tc>
          <w:tcPr>
            <w:tcW w:w="456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30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Trading symbols</w:t>
            </w:r>
          </w:p>
        </w:tc>
        <w:tc>
          <w:tcPr>
            <w:tcW w:w="364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7"/>
              </w:rPr>
              <w:t>which registered</w:t>
            </w:r>
          </w:p>
        </w:tc>
      </w:tr>
      <w:tr>
        <w:trPr>
          <w:trHeight w:val="177"/>
        </w:trPr>
        <w:tc>
          <w:tcPr>
            <w:tcW w:w="4560" w:type="dxa"/>
            <w:vAlign w:val="bottom"/>
          </w:tcPr>
          <w:p>
            <w:pPr>
              <w:jc w:val="center"/>
              <w:ind w:right="317"/>
              <w:spacing w:after="0" w:line="176" w:lineRule="exact"/>
              <w:rPr>
                <w:sz w:val="20"/>
                <w:szCs w:val="20"/>
                <w:color w:val="auto"/>
              </w:rPr>
            </w:pPr>
            <w:r>
              <w:rPr>
                <w:rFonts w:ascii="Times New Roman" w:cs="Times New Roman" w:eastAsia="Times New Roman" w:hAnsi="Times New Roman"/>
                <w:sz w:val="17"/>
                <w:szCs w:val="17"/>
                <w:color w:val="auto"/>
                <w:w w:val="98"/>
              </w:rPr>
              <w:t>Common units representing limited partnership</w:t>
            </w:r>
          </w:p>
        </w:tc>
        <w:tc>
          <w:tcPr>
            <w:tcW w:w="304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17"/>
        </w:trPr>
        <w:tc>
          <w:tcPr>
            <w:tcW w:w="456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8"/>
              </w:rPr>
              <w:t>interests</w:t>
            </w: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CPLP</w:t>
            </w:r>
          </w:p>
        </w:tc>
        <w:tc>
          <w:tcPr>
            <w:tcW w:w="3640" w:type="dxa"/>
            <w:vAlign w:val="bottom"/>
          </w:tcPr>
          <w:p>
            <w:pPr>
              <w:jc w:val="center"/>
              <w:ind w:left="197"/>
              <w:spacing w:after="0"/>
              <w:rPr>
                <w:sz w:val="20"/>
                <w:szCs w:val="20"/>
                <w:color w:val="auto"/>
              </w:rPr>
            </w:pPr>
            <w:r>
              <w:rPr>
                <w:rFonts w:ascii="Times New Roman" w:cs="Times New Roman" w:eastAsia="Times New Roman" w:hAnsi="Times New Roman"/>
                <w:sz w:val="17"/>
                <w:szCs w:val="17"/>
                <w:color w:val="auto"/>
                <w:w w:val="97"/>
              </w:rPr>
              <w:t>Nasdaq Global Select Market</w:t>
            </w:r>
          </w:p>
        </w:tc>
      </w:tr>
    </w:tbl>
    <w:p>
      <w:pPr>
        <w:spacing w:after="0" w:line="334" w:lineRule="exact"/>
        <w:rPr>
          <w:sz w:val="20"/>
          <w:szCs w:val="20"/>
          <w:color w:val="auto"/>
        </w:rPr>
      </w:pPr>
    </w:p>
    <w:p>
      <w:pPr>
        <w:ind w:right="1000"/>
        <w:spacing w:after="0" w:line="241" w:lineRule="auto"/>
        <w:rPr>
          <w:sz w:val="20"/>
          <w:szCs w:val="20"/>
          <w:color w:val="auto"/>
        </w:rPr>
      </w:pPr>
      <w:r>
        <w:rPr>
          <w:rFonts w:ascii="Times New Roman" w:cs="Times New Roman" w:eastAsia="Times New Roman" w:hAnsi="Times New Roman"/>
          <w:sz w:val="17"/>
          <w:szCs w:val="17"/>
          <w:color w:val="auto"/>
        </w:rPr>
        <w:t>Capitalized terms used but not defined herein have the meanings given to them in our annual report on Form 20-F for the fiscal year ended December 31, 2022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UNITS</w:t>
      </w:r>
    </w:p>
    <w:p>
      <w:pPr>
        <w:spacing w:after="0" w:line="184"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7"/>
          <w:szCs w:val="17"/>
          <w:color w:val="auto"/>
        </w:rPr>
        <w:t>The following is a description of the material terms of CPLP’s common units representing limited partner interests. Because it is a summary, the following description is not complete and is subject to and qualified in its entirety by reference to CPLP’s limited partnership agreement, as amended (the “</w:t>
      </w:r>
      <w:r>
        <w:rPr>
          <w:rFonts w:ascii="Times New Roman" w:cs="Times New Roman" w:eastAsia="Times New Roman" w:hAnsi="Times New Roman"/>
          <w:sz w:val="17"/>
          <w:szCs w:val="17"/>
          <w:b w:val="1"/>
          <w:bCs w:val="1"/>
          <w:color w:val="auto"/>
        </w:rPr>
        <w:t>Partnership Agreement</w:t>
      </w:r>
      <w:r>
        <w:rPr>
          <w:rFonts w:ascii="Times New Roman" w:cs="Times New Roman" w:eastAsia="Times New Roman" w:hAnsi="Times New Roman"/>
          <w:sz w:val="17"/>
          <w:szCs w:val="17"/>
          <w:color w:val="auto"/>
        </w:rPr>
        <w:t>”) and applicable Marshall Islands law in effect on the date hereof. References to provisions of the Partnership Agreement are qualified in their entirety by reference to the full Partnership Agreement, included as Exhibit I to our Report on Form 6-K, filed with the SEC on February 24, 2010, as Exhibit I to our Report on Form 6-K dated September 30, 2011, as Exhibit II to our Report on Form 6-K/A dated May 23, 2012, as Exhibit II to our Report on Form 6-K dated March 21, 2013 and as Exhibit A to Exhibit I to our Report on Form 6-K dated August 26,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December 31, 2022, 20,255,707 common units were issued and outstanding. The common units are in registered form.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Duties</w:t>
      </w:r>
    </w:p>
    <w:p>
      <w:pPr>
        <w:spacing w:after="0" w:line="84"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7"/>
          <w:szCs w:val="17"/>
          <w:color w:val="auto"/>
        </w:rPr>
        <w:t>Computershare serves as registrar and transfer agent for the common units. We pay all fees charged by the transfer agent for transfers of common units, except the following, which must be paid by common unitholders:</w:t>
      </w:r>
    </w:p>
    <w:p>
      <w:pPr>
        <w:spacing w:after="0" w:line="21" w:lineRule="exact"/>
        <w:rPr>
          <w:sz w:val="20"/>
          <w:szCs w:val="20"/>
          <w:color w:val="auto"/>
        </w:rPr>
      </w:pPr>
    </w:p>
    <w:p>
      <w:pPr>
        <w:ind w:left="780" w:hanging="341"/>
        <w:spacing w:after="0"/>
        <w:tabs>
          <w:tab w:leader="none" w:pos="7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surety bond premiums to replace lost or stolen certificates, taxes and other governmental charges;</w:t>
      </w:r>
    </w:p>
    <w:p>
      <w:pPr>
        <w:spacing w:after="0" w:line="105" w:lineRule="exact"/>
        <w:rPr>
          <w:rFonts w:ascii="Times New Roman" w:cs="Times New Roman" w:eastAsia="Times New Roman" w:hAnsi="Times New Roman"/>
          <w:sz w:val="17"/>
          <w:szCs w:val="17"/>
          <w:color w:val="auto"/>
        </w:rPr>
      </w:pPr>
    </w:p>
    <w:p>
      <w:pPr>
        <w:ind w:left="780" w:hanging="341"/>
        <w:spacing w:after="0"/>
        <w:tabs>
          <w:tab w:leader="none" w:pos="7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charges for services requested by a holder of a common unit; and</w:t>
      </w:r>
    </w:p>
    <w:p>
      <w:pPr>
        <w:spacing w:after="0" w:line="117" w:lineRule="exact"/>
        <w:rPr>
          <w:rFonts w:ascii="Times New Roman" w:cs="Times New Roman" w:eastAsia="Times New Roman" w:hAnsi="Times New Roman"/>
          <w:sz w:val="17"/>
          <w:szCs w:val="17"/>
          <w:color w:val="auto"/>
        </w:rPr>
      </w:pPr>
    </w:p>
    <w:p>
      <w:pPr>
        <w:ind w:left="780" w:hanging="341"/>
        <w:spacing w:after="0"/>
        <w:tabs>
          <w:tab w:leader="none" w:pos="7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similar fees or charges.</w:t>
      </w:r>
    </w:p>
    <w:p>
      <w:pPr>
        <w:spacing w:after="0" w:line="393"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w:t>
      </w:r>
    </w:p>
    <w:p>
      <w:pPr>
        <w:spacing w:after="0"/>
        <w:rPr>
          <w:sz w:val="20"/>
          <w:szCs w:val="20"/>
          <w:color w:val="auto"/>
        </w:rPr>
      </w:pPr>
      <w:r>
        <w:rPr>
          <w:rFonts w:ascii="Times New Roman" w:cs="Times New Roman" w:eastAsia="Times New Roman" w:hAnsi="Times New Roman"/>
          <w:sz w:val="17"/>
          <w:szCs w:val="17"/>
          <w:color w:val="auto"/>
        </w:rPr>
        <w:t>gross negligence or intentional misconduct of the indemnified person or entity.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Resignation or Removal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may resign, by notice to us, or be removed by us. The resignation or removal of the transfer agent will become effective upon our appointment of a</w:t>
      </w:r>
    </w:p>
    <w:p>
      <w:pPr>
        <w:jc w:val="both"/>
        <w:ind w:right="220"/>
        <w:spacing w:after="0" w:line="204" w:lineRule="auto"/>
        <w:rPr>
          <w:sz w:val="20"/>
          <w:szCs w:val="20"/>
          <w:color w:val="auto"/>
        </w:rPr>
      </w:pPr>
      <w:r>
        <w:rPr>
          <w:rFonts w:ascii="Times New Roman" w:cs="Times New Roman" w:eastAsia="Times New Roman" w:hAnsi="Times New Roman"/>
          <w:sz w:val="17"/>
          <w:szCs w:val="17"/>
          <w:color w:val="auto"/>
        </w:rPr>
        <w:t>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28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THE PARTNERSHIP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material provisions of our Partnership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Duration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were organized on January 16, 2007 and have perpetual existence.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84" w:lineRule="exact"/>
        <w:rPr>
          <w:sz w:val="20"/>
          <w:szCs w:val="20"/>
          <w:color w:val="auto"/>
        </w:rPr>
      </w:pPr>
    </w:p>
    <w:p>
      <w:pPr>
        <w:ind w:right="340"/>
        <w:spacing w:after="0" w:line="224" w:lineRule="auto"/>
        <w:rPr>
          <w:sz w:val="20"/>
          <w:szCs w:val="20"/>
          <w:color w:val="auto"/>
        </w:rPr>
      </w:pPr>
      <w:r>
        <w:rPr>
          <w:rFonts w:ascii="Times New Roman" w:cs="Times New Roman" w:eastAsia="Times New Roman" w:hAnsi="Times New Roman"/>
          <w:sz w:val="16"/>
          <w:szCs w:val="16"/>
          <w:color w:val="auto"/>
        </w:rPr>
        <w:t>Our purpose under the Partnership Agreement is to engage directly in, or enter into or form any corporation, partnership, joint venture, limited liability company or other arrangement to engage indirectly in, any business activity that may lawfully be conducted by a limited partnership pursuant to the MILPA and, in connection</w:t>
      </w:r>
    </w:p>
    <w:p>
      <w:pPr>
        <w:ind w:right="380"/>
        <w:spacing w:after="0" w:line="214" w:lineRule="auto"/>
        <w:rPr>
          <w:sz w:val="20"/>
          <w:szCs w:val="20"/>
          <w:color w:val="auto"/>
        </w:rPr>
      </w:pPr>
      <w:r>
        <w:rPr>
          <w:rFonts w:ascii="Times New Roman" w:cs="Times New Roman" w:eastAsia="Times New Roman" w:hAnsi="Times New Roman"/>
          <w:sz w:val="17"/>
          <w:szCs w:val="17"/>
          <w:color w:val="auto"/>
        </w:rPr>
        <w:t>therewith, to exercise all of the rights and powers conferred upon the us pursuant to the agreements relating to such business activity, and do anything necessary or appropriate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42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0" w:name="page131"/>
    <w:bookmarkEnd w:id="130"/>
    <w:p>
      <w:pPr>
        <w:ind w:right="380"/>
        <w:spacing w:after="0" w:line="233" w:lineRule="auto"/>
        <w:rPr>
          <w:sz w:val="20"/>
          <w:szCs w:val="20"/>
          <w:color w:val="auto"/>
        </w:rPr>
      </w:pPr>
      <w:r>
        <w:rPr>
          <w:rFonts w:ascii="Times New Roman" w:cs="Times New Roman" w:eastAsia="Times New Roman" w:hAnsi="Times New Roman"/>
          <w:sz w:val="17"/>
          <w:szCs w:val="17"/>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97"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6"/>
          <w:szCs w:val="16"/>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authority to make consents and waivers under the Partnership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Contributions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Unitholders are not obligated to make additional capital contributions, except as described below under “—Limited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outstanding common unit is entitled to one vote on matters subject to a vote of common unitholders.</w:t>
      </w:r>
    </w:p>
    <w:p>
      <w:pPr>
        <w:spacing w:after="0" w:line="168"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7"/>
          <w:szCs w:val="17"/>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12" w:lineRule="exact"/>
        <w:rPr>
          <w:sz w:val="20"/>
          <w:szCs w:val="20"/>
          <w:color w:val="auto"/>
        </w:rPr>
      </w:pPr>
    </w:p>
    <w:p>
      <w:pPr>
        <w:jc w:val="both"/>
        <w:ind w:right="120"/>
        <w:spacing w:after="0" w:line="237" w:lineRule="auto"/>
        <w:rPr>
          <w:sz w:val="20"/>
          <w:szCs w:val="20"/>
          <w:color w:val="auto"/>
        </w:rPr>
      </w:pPr>
      <w:r>
        <w:rPr>
          <w:rFonts w:ascii="Times New Roman" w:cs="Times New Roman" w:eastAsia="Times New Roman" w:hAnsi="Times New Roman"/>
          <w:sz w:val="17"/>
          <w:szCs w:val="17"/>
          <w:color w:val="auto"/>
        </w:rPr>
        <w:t>We will hold a meeting of the limited partners entitled to vote every year to elect one or more members of our board of directors and to vote on any other matters that are properly brought before the meeting. The sole member of our General Partner has the right to appoint three of the eight members of our board of directors with the remaining five directors being elected by our common unitholders. Currently, our board comprises seven members.</w:t>
      </w:r>
    </w:p>
    <w:p>
      <w:pPr>
        <w:spacing w:after="0" w:line="85"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7"/>
          <w:szCs w:val="17"/>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96"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7"/>
          <w:szCs w:val="17"/>
          <w:color w:val="auto"/>
        </w:rPr>
        <w:t>The matters described in the table below require the unitholder vote specified below. Matters requiring the approval of a “unit majority” require the approval of a majority of the common units. You should note that our General Partner has approval rights in respect of certain of the matters described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7"/>
                <w:szCs w:val="17"/>
                <w:b w:val="1"/>
                <w:bCs w:val="1"/>
                <w:color w:val="auto"/>
              </w:rPr>
              <w:t>Action</w:t>
            </w:r>
          </w:p>
        </w:tc>
        <w:tc>
          <w:tcPr>
            <w:tcW w:w="76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7"/>
                <w:szCs w:val="17"/>
                <w:b w:val="1"/>
                <w:bCs w:val="1"/>
                <w:color w:val="auto"/>
              </w:rPr>
              <w:t>Unitholder Approval Required and Voting Rights</w:t>
            </w:r>
          </w:p>
        </w:tc>
      </w:tr>
      <w:tr>
        <w:trPr>
          <w:trHeight w:val="151"/>
        </w:trPr>
        <w:tc>
          <w:tcPr>
            <w:tcW w:w="3640" w:type="dxa"/>
            <w:vAlign w:val="bottom"/>
          </w:tcPr>
          <w:p>
            <w:pPr>
              <w:ind w:left="100"/>
              <w:spacing w:after="0" w:line="151" w:lineRule="exact"/>
              <w:rPr>
                <w:sz w:val="20"/>
                <w:szCs w:val="20"/>
                <w:color w:val="auto"/>
              </w:rPr>
            </w:pPr>
            <w:r>
              <w:rPr>
                <w:rFonts w:ascii="Times New Roman" w:cs="Times New Roman" w:eastAsia="Times New Roman" w:hAnsi="Times New Roman"/>
                <w:sz w:val="17"/>
                <w:szCs w:val="17"/>
                <w:color w:val="auto"/>
              </w:rPr>
              <w:t>Issuance of additional units</w:t>
            </w:r>
          </w:p>
        </w:tc>
        <w:tc>
          <w:tcPr>
            <w:tcW w:w="7600" w:type="dxa"/>
            <w:vAlign w:val="bottom"/>
          </w:tcPr>
          <w:p>
            <w:pPr>
              <w:ind w:left="180"/>
              <w:spacing w:after="0" w:line="151" w:lineRule="exact"/>
              <w:rPr>
                <w:sz w:val="20"/>
                <w:szCs w:val="20"/>
                <w:color w:val="auto"/>
              </w:rPr>
            </w:pPr>
            <w:r>
              <w:rPr>
                <w:rFonts w:ascii="Times New Roman" w:cs="Times New Roman" w:eastAsia="Times New Roman" w:hAnsi="Times New Roman"/>
                <w:sz w:val="17"/>
                <w:szCs w:val="17"/>
                <w:color w:val="auto"/>
              </w:rPr>
              <w:t>No approval rights (although our General Partner has approval rights in certain instances).</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Amendment of the Partnership Agreement</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Certain amendments may be made by our board of directors without the approval of the unitholders if those</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amendments are also approved by our General Partner. Other amendments generally require the approval of</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w w:val="99"/>
              </w:rPr>
              <w:t>a unit majority and can only be proposed by or with the written consent of our General Partner and our board</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of directors. Please read “— Amendment of the Partnership Agreement.”</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Amendment of the operating agreement of the</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Unit majority if such amendment would adversely affect our limited partners in any material respect.</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operating company (as defined in our Partnership</w:t>
            </w:r>
          </w:p>
        </w:tc>
        <w:tc>
          <w:tcPr>
            <w:tcW w:w="7600" w:type="dxa"/>
            <w:vAlign w:val="bottom"/>
          </w:tcPr>
          <w:p>
            <w:pPr>
              <w:spacing w:after="0"/>
              <w:rPr>
                <w:sz w:val="16"/>
                <w:szCs w:val="16"/>
                <w:color w:val="auto"/>
              </w:rPr>
            </w:pP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Agreement)</w:t>
            </w:r>
          </w:p>
        </w:tc>
        <w:tc>
          <w:tcPr>
            <w:tcW w:w="7600" w:type="dxa"/>
            <w:vAlign w:val="bottom"/>
          </w:tcPr>
          <w:p>
            <w:pPr>
              <w:spacing w:after="0"/>
              <w:rPr>
                <w:sz w:val="16"/>
                <w:szCs w:val="16"/>
                <w:color w:val="auto"/>
              </w:rPr>
            </w:pP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Merger of our partnership or the sale of all or</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Unit majority and approval of our General Partner and board of directors. Please read “—Merger, Sale, or</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substantially all of our assets</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Other Disposition of Assets.”</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Dissolution of our partnership</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w w:val="99"/>
              </w:rPr>
              <w:t>Election by the General Partner and our Board of Directors that is approved by the Unit majority. Please read</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 Termination and Dissolution.”</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Reconstitution of our partnership upon dissolution</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Unit majority. Please read “—Termination and Dissolution.”</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Election of five of the eight members of our board</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A plurality of the votes of the holders of the common units.</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of directors</w:t>
            </w:r>
          </w:p>
        </w:tc>
        <w:tc>
          <w:tcPr>
            <w:tcW w:w="7600" w:type="dxa"/>
            <w:vAlign w:val="bottom"/>
          </w:tcPr>
          <w:p>
            <w:pPr>
              <w:spacing w:after="0"/>
              <w:rPr>
                <w:sz w:val="16"/>
                <w:szCs w:val="16"/>
                <w:color w:val="auto"/>
              </w:rPr>
            </w:pP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Withdrawal of the General Partner</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Our General Partner may withdraw without obtaining unitholder approval upon 90 days’ written notice to</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our board of directors. Please read “—Withdrawal or Removal of our General Partner.”</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Removal of the General Partner</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Not less than 66 2/3% of the outstanding units, including units held by our General Partner and its affiliates,</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voting together as a single class and a majority vote of our board of directors. Please read “—Withdrawal or</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Removal of our General Partner.”</w:t>
            </w:r>
          </w:p>
        </w:tc>
      </w:tr>
      <w:tr>
        <w:trPr>
          <w:trHeight w:val="188"/>
        </w:trPr>
        <w:tc>
          <w:tcPr>
            <w:tcW w:w="3640" w:type="dxa"/>
            <w:vAlign w:val="bottom"/>
          </w:tcPr>
          <w:p>
            <w:pPr>
              <w:ind w:left="100"/>
              <w:spacing w:after="0" w:line="188" w:lineRule="exact"/>
              <w:rPr>
                <w:sz w:val="20"/>
                <w:szCs w:val="20"/>
                <w:color w:val="auto"/>
              </w:rPr>
            </w:pPr>
            <w:r>
              <w:rPr>
                <w:rFonts w:ascii="Times New Roman" w:cs="Times New Roman" w:eastAsia="Times New Roman" w:hAnsi="Times New Roman"/>
                <w:sz w:val="17"/>
                <w:szCs w:val="17"/>
                <w:color w:val="auto"/>
              </w:rPr>
              <w:t>Transfer of the general partner interest in us</w:t>
            </w: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Our General Partner may transfer all or any part of its General Partner interest in us to another person</w:t>
            </w:r>
          </w:p>
        </w:tc>
      </w:tr>
      <w:tr>
        <w:trPr>
          <w:trHeight w:val="188"/>
        </w:trPr>
        <w:tc>
          <w:tcPr>
            <w:tcW w:w="3640" w:type="dxa"/>
            <w:vAlign w:val="bottom"/>
          </w:tcPr>
          <w:p>
            <w:pPr>
              <w:spacing w:after="0"/>
              <w:rPr>
                <w:sz w:val="16"/>
                <w:szCs w:val="16"/>
                <w:color w:val="auto"/>
              </w:rPr>
            </w:pPr>
          </w:p>
        </w:tc>
        <w:tc>
          <w:tcPr>
            <w:tcW w:w="760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without the approval of the holders of our outstanding units. Please read “—Transfer of General Partner</w:t>
            </w:r>
          </w:p>
        </w:tc>
      </w:tr>
      <w:tr>
        <w:trPr>
          <w:trHeight w:val="217"/>
        </w:trPr>
        <w:tc>
          <w:tcPr>
            <w:tcW w:w="364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w:t>
            </w:r>
          </w:p>
        </w:tc>
      </w:tr>
      <w:tr>
        <w:trPr>
          <w:trHeight w:val="301"/>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4" w:right="339" w:bottom="1440" w:gutter="0" w:footer="0" w:header="0"/>
        </w:sectPr>
      </w:pPr>
    </w:p>
    <w:bookmarkStart w:id="131" w:name="page132"/>
    <w:bookmarkEnd w:id="131"/>
    <w:p>
      <w:pPr>
        <w:ind w:left="100"/>
        <w:spacing w:after="0"/>
        <w:rPr>
          <w:sz w:val="20"/>
          <w:szCs w:val="20"/>
          <w:color w:val="auto"/>
        </w:rPr>
      </w:pPr>
      <w:r>
        <w:rPr>
          <w:rFonts w:ascii="Times New Roman" w:cs="Times New Roman" w:eastAsia="Times New Roman" w:hAnsi="Times New Roman"/>
          <w:sz w:val="16"/>
          <w:szCs w:val="16"/>
          <w:color w:val="auto"/>
        </w:rPr>
        <w:t>Transfer of incentive distribution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he incentive distribution rights are freely transferable. Please read “—Transfer of Incentive Distribution</w:t>
      </w:r>
    </w:p>
    <w:p>
      <w:pPr>
        <w:spacing w:after="0" w:line="33" w:lineRule="exact"/>
        <w:rPr>
          <w:sz w:val="20"/>
          <w:szCs w:val="20"/>
          <w:color w:val="auto"/>
        </w:rPr>
      </w:pPr>
    </w:p>
    <w:p>
      <w:pPr>
        <w:sectPr>
          <w:pgSz w:w="11900" w:h="16838" w:orient="portrait"/>
          <w:cols w:equalWidth="0" w:num="2">
            <w:col w:w="3100" w:space="720"/>
            <w:col w:w="7320"/>
          </w:cols>
          <w:pgMar w:left="320" w:top="737" w:right="439" w:bottom="1440" w:gutter="0" w:footer="0" w:header="0"/>
        </w:sectPr>
      </w:pPr>
    </w:p>
    <w:p>
      <w:pPr>
        <w:ind w:left="3820"/>
        <w:spacing w:after="0"/>
        <w:rPr>
          <w:sz w:val="20"/>
          <w:szCs w:val="20"/>
          <w:color w:val="auto"/>
        </w:rPr>
      </w:pPr>
      <w:r>
        <w:rPr>
          <w:rFonts w:ascii="Times New Roman" w:cs="Times New Roman" w:eastAsia="Times New Roman" w:hAnsi="Times New Roman"/>
          <w:sz w:val="16"/>
          <w:szCs w:val="16"/>
          <w:color w:val="auto"/>
        </w:rPr>
        <w:t>Rights.”</w:t>
      </w:r>
    </w:p>
    <w:p>
      <w:pPr>
        <w:sectPr>
          <w:pgSz w:w="11900" w:h="16838" w:orient="portrait"/>
          <w:cols w:equalWidth="0" w:num="1">
            <w:col w:w="11140"/>
          </w:cols>
          <w:pgMar w:left="320" w:top="737" w:right="43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Transfer of ownership interests in the General</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Times New Roman" w:cs="Times New Roman" w:eastAsia="Times New Roman" w:hAnsi="Times New Roman"/>
          <w:sz w:val="16"/>
          <w:szCs w:val="16"/>
          <w:color w:val="auto"/>
        </w:rPr>
        <w:t>No approval required at any time. Please read “—Transfer of Ownership Interests in General Partner</w:t>
      </w:r>
    </w:p>
    <w:p>
      <w:pPr>
        <w:spacing w:after="0" w:line="4" w:lineRule="exact"/>
        <w:rPr>
          <w:sz w:val="20"/>
          <w:szCs w:val="20"/>
          <w:color w:val="auto"/>
        </w:rPr>
      </w:pPr>
    </w:p>
    <w:p>
      <w:pPr>
        <w:sectPr>
          <w:pgSz w:w="11900" w:h="16838" w:orient="portrait"/>
          <w:cols w:equalWidth="0" w:num="2">
            <w:col w:w="3160" w:space="660"/>
            <w:col w:w="7320"/>
          </w:cols>
          <w:pgMar w:left="320" w:top="737" w:right="4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6"/>
          <w:szCs w:val="16"/>
          <w:color w:val="auto"/>
        </w:rPr>
        <w:t>Partner</w:t>
      </w:r>
    </w:p>
    <w:p>
      <w:pPr>
        <w:sectPr>
          <w:pgSz w:w="11900" w:h="16838" w:orient="portrait"/>
          <w:cols w:equalWidth="0" w:num="1">
            <w:col w:w="11140"/>
          </w:cols>
          <w:pgMar w:left="320" w:top="737" w:right="43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Liability</w:t>
      </w:r>
    </w:p>
    <w:p>
      <w:pPr>
        <w:spacing w:after="0" w:line="97"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7"/>
          <w:szCs w:val="17"/>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12"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7"/>
          <w:szCs w:val="17"/>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1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Maintenance of our limited liability may require compliance with legal requirements in the jurisdictions in which we conduct business, which may include qualifying to do business in those jurisdictions.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Additional Securities</w:t>
      </w:r>
    </w:p>
    <w:p>
      <w:pPr>
        <w:spacing w:after="0" w:line="9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w:t>
      </w:r>
    </w:p>
    <w:p>
      <w:pPr>
        <w:spacing w:after="0" w:line="112"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7"/>
          <w:szCs w:val="17"/>
          <w:color w:val="auto"/>
        </w:rPr>
        <w:t>We intend to fund acquisitions through borrowings and the issuance of additional common units or other equity securities and the assumption and/or the issuance of debt, subject to market conditions, as further described elsewhere herein. Holders of any additional common units we issue will be entitled to share equally with the then-existing holders of common units in our distributions of available cash. In addition, the issuance of additional common units or other equity securities interests may dilute the value of the interests of the then-existing holders of common units in our net assets. 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13"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7"/>
          <w:szCs w:val="17"/>
          <w:color w:val="auto"/>
        </w:rPr>
        <w:t>Upon issuance of additional partnership securities, our General Partner will have the right, but not the obligation, to make additional capital contributions to the extent necessary to maintain its General Partner interest in us, which is currently 1.7%.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Status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Partnership Agreement provides that the partnership will elect to be taxed as a corporation for U.S. federal income tax purposes.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of the Partnership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9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Prohibited Amendments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set forth below, no amendment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424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40"/>
          </w:cols>
          <w:pgMar w:left="320" w:top="737" w:right="439" w:bottom="1440" w:gutter="0" w:footer="0" w:header="0"/>
          <w:type w:val="continuous"/>
        </w:sectPr>
      </w:pPr>
    </w:p>
    <w:bookmarkStart w:id="132" w:name="page133"/>
    <w:bookmarkEnd w:id="132"/>
    <w:p>
      <w:pPr>
        <w:ind w:left="780" w:right="560" w:hanging="429"/>
        <w:spacing w:after="0" w:line="241" w:lineRule="auto"/>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obligations of any limited partner without its consent, unless such increase is deemed to occur as a result of an amendment approved in accordance with sub-paragraph (2) below;</w:t>
      </w:r>
    </w:p>
    <w:p>
      <w:pPr>
        <w:spacing w:after="0" w:line="45" w:lineRule="exact"/>
        <w:rPr>
          <w:rFonts w:ascii="Times New Roman" w:cs="Times New Roman" w:eastAsia="Times New Roman" w:hAnsi="Times New Roman"/>
          <w:sz w:val="17"/>
          <w:szCs w:val="17"/>
          <w:color w:val="auto"/>
        </w:rPr>
      </w:pPr>
    </w:p>
    <w:p>
      <w:pPr>
        <w:ind w:left="780" w:right="320" w:hanging="429"/>
        <w:spacing w:after="0" w:line="241" w:lineRule="auto"/>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58" w:lineRule="exact"/>
        <w:rPr>
          <w:rFonts w:ascii="Times New Roman" w:cs="Times New Roman" w:eastAsia="Times New Roman" w:hAnsi="Times New Roman"/>
          <w:sz w:val="17"/>
          <w:szCs w:val="17"/>
          <w:color w:val="auto"/>
        </w:rPr>
      </w:pPr>
    </w:p>
    <w:p>
      <w:pPr>
        <w:ind w:left="780" w:hanging="429"/>
        <w:spacing w:after="0" w:line="241" w:lineRule="auto"/>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58"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term of our partnership;</w:t>
      </w:r>
    </w:p>
    <w:p>
      <w:pPr>
        <w:spacing w:after="0" w:line="117" w:lineRule="exact"/>
        <w:rPr>
          <w:rFonts w:ascii="Times New Roman" w:cs="Times New Roman" w:eastAsia="Times New Roman" w:hAnsi="Times New Roman"/>
          <w:sz w:val="17"/>
          <w:szCs w:val="17"/>
          <w:color w:val="auto"/>
        </w:rPr>
      </w:pPr>
    </w:p>
    <w:p>
      <w:pPr>
        <w:ind w:left="780" w:right="60" w:hanging="429"/>
        <w:spacing w:after="0" w:line="241" w:lineRule="auto"/>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partnership is not dissolved upon an election to dissolve our partnership by our General Partner and our board of directors that is approved by the holders of a unit majority; or</w:t>
      </w:r>
    </w:p>
    <w:p>
      <w:pPr>
        <w:spacing w:after="0" w:line="70" w:lineRule="exact"/>
        <w:rPr>
          <w:rFonts w:ascii="Times New Roman" w:cs="Times New Roman" w:eastAsia="Times New Roman" w:hAnsi="Times New Roman"/>
          <w:sz w:val="17"/>
          <w:szCs w:val="17"/>
          <w:color w:val="auto"/>
        </w:rPr>
      </w:pPr>
    </w:p>
    <w:p>
      <w:pPr>
        <w:ind w:left="780" w:right="140" w:hanging="429"/>
        <w:spacing w:after="0" w:line="256" w:lineRule="auto"/>
        <w:tabs>
          <w:tab w:leader="none" w:pos="7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any person the right to dissolve our partnership other than the right of our General Partner and our board of directors to dissolve our partnership with the approval of the holders of a unit majority.</w:t>
      </w:r>
    </w:p>
    <w:p>
      <w:pPr>
        <w:spacing w:after="0" w:line="17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6"/>
          <w:szCs w:val="16"/>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 Unitholder Approval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of directors may generally make amendments to our Partnership Agreement without the approval of any limited partner to reflect:</w:t>
      </w:r>
    </w:p>
    <w:p>
      <w:pPr>
        <w:spacing w:after="0" w:line="118" w:lineRule="exact"/>
        <w:rPr>
          <w:sz w:val="20"/>
          <w:szCs w:val="20"/>
          <w:color w:val="auto"/>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our name, the location of our principal place of business, our registered agent or our registered office;</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admission, substitution, withdrawal or removal of partners in accordance with our Partnership Agreement;</w:t>
      </w:r>
    </w:p>
    <w:p>
      <w:pPr>
        <w:spacing w:after="0" w:line="117" w:lineRule="exact"/>
        <w:rPr>
          <w:rFonts w:ascii="Times New Roman" w:cs="Times New Roman" w:eastAsia="Times New Roman" w:hAnsi="Times New Roman"/>
          <w:sz w:val="17"/>
          <w:szCs w:val="17"/>
          <w:color w:val="auto"/>
        </w:rPr>
      </w:pPr>
    </w:p>
    <w:p>
      <w:pPr>
        <w:ind w:left="780" w:right="80" w:hanging="429"/>
        <w:spacing w:after="0" w:line="299" w:lineRule="auto"/>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1" w:lineRule="exact"/>
        <w:rPr>
          <w:rFonts w:ascii="Times New Roman" w:cs="Times New Roman" w:eastAsia="Times New Roman" w:hAnsi="Times New Roman"/>
          <w:sz w:val="17"/>
          <w:szCs w:val="17"/>
          <w:color w:val="auto"/>
        </w:rPr>
      </w:pPr>
    </w:p>
    <w:p>
      <w:pPr>
        <w:ind w:left="780" w:right="60" w:hanging="429"/>
        <w:spacing w:after="0" w:line="231" w:lineRule="auto"/>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49" w:lineRule="exact"/>
        <w:rPr>
          <w:rFonts w:ascii="Times New Roman" w:cs="Times New Roman" w:eastAsia="Times New Roman" w:hAnsi="Times New Roman"/>
          <w:sz w:val="17"/>
          <w:szCs w:val="17"/>
          <w:color w:val="auto"/>
        </w:rPr>
      </w:pPr>
    </w:p>
    <w:p>
      <w:pPr>
        <w:ind w:left="780" w:right="280" w:hanging="429"/>
        <w:spacing w:after="0" w:line="183" w:lineRule="auto"/>
        <w:tabs>
          <w:tab w:leader="none" w:pos="780" w:val="left"/>
        </w:tabs>
        <w:numPr>
          <w:ilvl w:val="0"/>
          <w:numId w:val="15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22" w:lineRule="exact"/>
        <w:rPr>
          <w:rFonts w:ascii="Times New Roman" w:cs="Times New Roman" w:eastAsia="Times New Roman" w:hAnsi="Times New Roman"/>
          <w:sz w:val="30"/>
          <w:szCs w:val="30"/>
          <w:color w:val="auto"/>
          <w:vertAlign w:val="subscript"/>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expressly permitted in the Partnership Agreement to be made by our board of directors acting alone;</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effected, necessitated, or contemplated by a merger agreement that has been approved under the terms of the Partnership Agreement;</w:t>
      </w:r>
    </w:p>
    <w:p>
      <w:pPr>
        <w:spacing w:after="0" w:line="117" w:lineRule="exact"/>
        <w:rPr>
          <w:rFonts w:ascii="Times New Roman" w:cs="Times New Roman" w:eastAsia="Times New Roman" w:hAnsi="Times New Roman"/>
          <w:sz w:val="17"/>
          <w:szCs w:val="17"/>
          <w:color w:val="auto"/>
        </w:rPr>
      </w:pPr>
    </w:p>
    <w:p>
      <w:pPr>
        <w:ind w:left="780" w:right="360" w:hanging="429"/>
        <w:spacing w:after="0" w:line="287" w:lineRule="auto"/>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33"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our fiscal year or taxable year and related changes;</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mergers or conveyances as set forth in our Partnership Agreement; or</w:t>
      </w:r>
    </w:p>
    <w:p>
      <w:pPr>
        <w:spacing w:after="0" w:line="330" w:lineRule="exact"/>
        <w:rPr>
          <w:rFonts w:ascii="Times New Roman" w:cs="Times New Roman" w:eastAsia="Times New Roman" w:hAnsi="Times New Roman"/>
          <w:sz w:val="17"/>
          <w:szCs w:val="17"/>
          <w:color w:val="auto"/>
        </w:rPr>
      </w:pPr>
    </w:p>
    <w:p>
      <w:pPr>
        <w:ind w:left="920" w:hanging="568"/>
        <w:spacing w:after="0"/>
        <w:tabs>
          <w:tab w:leader="none" w:pos="9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amendments substantially similar to any of the matters described in (1) through (10) above.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amendments reflecting matters described in (1) through (11) above require the approval of our General Partner.</w:t>
      </w:r>
    </w:p>
    <w:p>
      <w:pPr>
        <w:spacing w:after="0" w:line="143" w:lineRule="exact"/>
        <w:rPr>
          <w:sz w:val="20"/>
          <w:szCs w:val="20"/>
          <w:color w:val="auto"/>
        </w:rPr>
      </w:pPr>
    </w:p>
    <w:p>
      <w:pPr>
        <w:ind w:right="740"/>
        <w:spacing w:after="0" w:line="241" w:lineRule="auto"/>
        <w:rPr>
          <w:sz w:val="20"/>
          <w:szCs w:val="20"/>
          <w:color w:val="auto"/>
        </w:rPr>
      </w:pPr>
      <w:r>
        <w:rPr>
          <w:rFonts w:ascii="Times New Roman" w:cs="Times New Roman" w:eastAsia="Times New Roman" w:hAnsi="Times New Roman"/>
          <w:sz w:val="17"/>
          <w:szCs w:val="17"/>
          <w:color w:val="auto"/>
        </w:rPr>
        <w:t>In addition, our board of directors may make amendments to the Partnership Agreement without the approval of any limited partner if our board of directors determines that those amendments:</w:t>
      </w:r>
    </w:p>
    <w:p>
      <w:pPr>
        <w:spacing w:after="0" w:line="21" w:lineRule="exact"/>
        <w:rPr>
          <w:sz w:val="20"/>
          <w:szCs w:val="20"/>
          <w:color w:val="auto"/>
        </w:rPr>
      </w:pPr>
    </w:p>
    <w:p>
      <w:pPr>
        <w:ind w:left="780" w:hanging="429"/>
        <w:spacing w:after="0"/>
        <w:tabs>
          <w:tab w:leader="none" w:pos="7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adversely affect the limited partners (or any particular class of limited partners) in any material respect;</w:t>
      </w:r>
    </w:p>
    <w:p>
      <w:pPr>
        <w:spacing w:after="0" w:line="117" w:lineRule="exact"/>
        <w:rPr>
          <w:rFonts w:ascii="Times New Roman" w:cs="Times New Roman" w:eastAsia="Times New Roman" w:hAnsi="Times New Roman"/>
          <w:sz w:val="17"/>
          <w:szCs w:val="17"/>
          <w:color w:val="auto"/>
        </w:rPr>
      </w:pPr>
    </w:p>
    <w:p>
      <w:pPr>
        <w:ind w:left="780" w:right="320" w:hanging="429"/>
        <w:spacing w:after="0" w:line="241" w:lineRule="auto"/>
        <w:tabs>
          <w:tab w:leader="none" w:pos="7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necessary or appropriate to satisfy any requirements, conditions, or guidelines contained in any opinion, directive, order, ruling or regulation of any Marshall Islands or other authority or contained in any statute;</w:t>
      </w:r>
    </w:p>
    <w:p>
      <w:pPr>
        <w:spacing w:after="0" w:line="45" w:lineRule="exact"/>
        <w:rPr>
          <w:rFonts w:ascii="Times New Roman" w:cs="Times New Roman" w:eastAsia="Times New Roman" w:hAnsi="Times New Roman"/>
          <w:sz w:val="17"/>
          <w:szCs w:val="17"/>
          <w:color w:val="auto"/>
        </w:rPr>
      </w:pPr>
    </w:p>
    <w:p>
      <w:pPr>
        <w:ind w:left="780" w:right="380" w:hanging="429"/>
        <w:spacing w:after="0" w:line="241" w:lineRule="auto"/>
        <w:tabs>
          <w:tab w:leader="none" w:pos="7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45" w:lineRule="exact"/>
        <w:rPr>
          <w:rFonts w:ascii="Times New Roman" w:cs="Times New Roman" w:eastAsia="Times New Roman" w:hAnsi="Times New Roman"/>
          <w:sz w:val="17"/>
          <w:szCs w:val="17"/>
          <w:color w:val="auto"/>
        </w:rPr>
      </w:pPr>
    </w:p>
    <w:p>
      <w:pPr>
        <w:ind w:left="780" w:right="40" w:hanging="429"/>
        <w:spacing w:after="0" w:line="237" w:lineRule="auto"/>
        <w:tabs>
          <w:tab w:leader="none" w:pos="7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necessary or appropriate for any action taken by our board of directors relating to splits or combinations of units under the provisions of the Partnership Agreement; or are required to effect the intent expressed in the IPO registration statement or any future prospectus or the intent of the provisions of the Partnership Agreement or are otherwise contemplated by the Partnership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amendments reflecting matters described in (1) through (4) above require the approval of our General Partner.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of Counsel and Unitholder Approval</w:t>
      </w:r>
    </w:p>
    <w:p>
      <w:pPr>
        <w:spacing w:after="0" w:line="9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1424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33" w:name="page134"/>
    <w:bookmarkEnd w:id="133"/>
    <w:p>
      <w:pPr>
        <w:jc w:val="both"/>
        <w:ind w:right="140"/>
        <w:spacing w:after="0" w:line="271" w:lineRule="auto"/>
        <w:rPr>
          <w:sz w:val="20"/>
          <w:szCs w:val="20"/>
          <w:color w:val="auto"/>
        </w:rPr>
      </w:pPr>
      <w:r>
        <w:rPr>
          <w:rFonts w:ascii="Times New Roman" w:cs="Times New Roman" w:eastAsia="Times New Roman" w:hAnsi="Times New Roman"/>
          <w:sz w:val="16"/>
          <w:szCs w:val="16"/>
          <w:color w:val="auto"/>
        </w:rPr>
        <w:t>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98"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7"/>
          <w:szCs w:val="17"/>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Action Relating to the Operating Subsidiaries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effectively control our operating subsidiaries by being their sole member or shareholder, as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Sale, or Other Disposition of Assets</w:t>
      </w:r>
    </w:p>
    <w:p>
      <w:pPr>
        <w:spacing w:after="0" w:line="9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114"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1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7"/>
          <w:szCs w:val="17"/>
          <w:color w:val="auto"/>
        </w:rPr>
        <w:t>Additionally, our board of directors is permitted, with the prior consent of our General Partner, to merge or consolidate the Partnership with or into another entity in certain circumstances, provided that each unit 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and Dissolution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continue as a limited partnership until terminated or converted under our Partnership Agreement. We will dissolve upon:</w:t>
      </w:r>
    </w:p>
    <w:p>
      <w:pPr>
        <w:spacing w:after="0" w:line="130" w:lineRule="exact"/>
        <w:rPr>
          <w:sz w:val="20"/>
          <w:szCs w:val="20"/>
          <w:color w:val="auto"/>
        </w:rPr>
      </w:pPr>
    </w:p>
    <w:p>
      <w:pPr>
        <w:ind w:left="780" w:hanging="429"/>
        <w:spacing w:after="0"/>
        <w:tabs>
          <w:tab w:leader="none" w:pos="7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by our General Partner and our board of directors to dissolve us, if approved by the holders of units representing a unit majority;</w:t>
      </w:r>
    </w:p>
    <w:p>
      <w:pPr>
        <w:spacing w:after="0" w:line="80"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exchange, or other disposition of all or substantially all of our assets and properties and our subsidiaries;</w:t>
      </w:r>
    </w:p>
    <w:p>
      <w:pPr>
        <w:spacing w:after="0" w:line="105"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us;</w:t>
      </w:r>
    </w:p>
    <w:p>
      <w:pPr>
        <w:spacing w:after="0" w:line="117" w:lineRule="exact"/>
        <w:rPr>
          <w:rFonts w:ascii="Times New Roman" w:cs="Times New Roman" w:eastAsia="Times New Roman" w:hAnsi="Times New Roman"/>
          <w:sz w:val="17"/>
          <w:szCs w:val="17"/>
          <w:color w:val="auto"/>
        </w:rPr>
      </w:pPr>
    </w:p>
    <w:p>
      <w:pPr>
        <w:ind w:left="780" w:hanging="429"/>
        <w:spacing w:after="0" w:line="304" w:lineRule="auto"/>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47" w:lineRule="exact"/>
        <w:rPr>
          <w:rFonts w:ascii="Times New Roman" w:cs="Times New Roman" w:eastAsia="Times New Roman" w:hAnsi="Times New Roman"/>
          <w:sz w:val="16"/>
          <w:szCs w:val="16"/>
          <w:color w:val="auto"/>
        </w:rPr>
      </w:pPr>
    </w:p>
    <w:p>
      <w:pPr>
        <w:ind w:left="780" w:hanging="429"/>
        <w:spacing w:after="0"/>
        <w:tabs>
          <w:tab w:leader="none" w:pos="7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when there are no limited partners, unless we are continued without dissolution in accordance with the MILPA.</w:t>
      </w:r>
    </w:p>
    <w:p>
      <w:pPr>
        <w:spacing w:after="0" w:line="16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7"/>
          <w:szCs w:val="17"/>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and Distribution of Proceeds</w:t>
      </w:r>
    </w:p>
    <w:p>
      <w:pPr>
        <w:spacing w:after="0" w:line="97" w:lineRule="exact"/>
        <w:rPr>
          <w:sz w:val="20"/>
          <w:szCs w:val="20"/>
          <w:color w:val="auto"/>
        </w:rPr>
      </w:pPr>
    </w:p>
    <w:p>
      <w:pPr>
        <w:jc w:val="both"/>
        <w:ind w:right="160"/>
        <w:spacing w:after="0" w:line="231" w:lineRule="auto"/>
        <w:rPr>
          <w:sz w:val="20"/>
          <w:szCs w:val="20"/>
          <w:color w:val="auto"/>
        </w:rPr>
      </w:pPr>
      <w:r>
        <w:rPr>
          <w:rFonts w:ascii="Times New Roman" w:cs="Times New Roman" w:eastAsia="Times New Roman" w:hAnsi="Times New Roman"/>
          <w:sz w:val="17"/>
          <w:szCs w:val="17"/>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 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Withdrawal or Removal of our General Partner</w:t>
      </w:r>
    </w:p>
    <w:p>
      <w:pPr>
        <w:spacing w:after="0" w:line="97"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7"/>
          <w:szCs w:val="17"/>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424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134" w:name="page135"/>
    <w:bookmarkEnd w:id="134"/>
    <w:p>
      <w:pPr>
        <w:ind w:right="60"/>
        <w:spacing w:after="0" w:line="231" w:lineRule="auto"/>
        <w:rPr>
          <w:sz w:val="20"/>
          <w:szCs w:val="20"/>
          <w:color w:val="auto"/>
        </w:rPr>
      </w:pPr>
      <w:r>
        <w:rPr>
          <w:rFonts w:ascii="Times New Roman" w:cs="Times New Roman" w:eastAsia="Times New Roman" w:hAnsi="Times New Roman"/>
          <w:sz w:val="17"/>
          <w:szCs w:val="17"/>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 Termination and Dissolution.”</w:t>
      </w:r>
    </w:p>
    <w:p>
      <w:pPr>
        <w:spacing w:after="0" w:line="11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and general partner units, voting as a single class.</w:t>
      </w:r>
    </w:p>
    <w:p>
      <w:pPr>
        <w:spacing w:after="0" w:line="11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2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1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7"/>
          <w:szCs w:val="17"/>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8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7"/>
          <w:szCs w:val="17"/>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General Partner Interest</w:t>
      </w:r>
    </w:p>
    <w:p>
      <w:pPr>
        <w:spacing w:after="0" w:line="9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7"/>
          <w:szCs w:val="17"/>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General Partner and its affiliates may at any time transfer units to one or more persons, without unitholder approval.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Ownership Interests in General Partner</w:t>
      </w:r>
    </w:p>
    <w:p>
      <w:pPr>
        <w:spacing w:after="0" w:line="97"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7"/>
          <w:szCs w:val="17"/>
          <w:color w:val="auto"/>
        </w:rPr>
        <w:t>At any time, the members of our General Partner may sell or transfer all or part of their respective membership interests in our General Partner to an affiliate or a third party without the approval of our unitholders.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this may trigger a “Change of Control”, as defined in our Partnership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Incentive Distribution Rights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incentive distribution rights are freely transferable.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of Management Provisions</w:t>
      </w:r>
    </w:p>
    <w:p>
      <w:pPr>
        <w:spacing w:after="0" w:line="10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0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Call Right</w:t>
      </w:r>
    </w:p>
    <w:p>
      <w:pPr>
        <w:spacing w:after="0" w:line="97"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7"/>
          <w:szCs w:val="17"/>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424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135" w:name="page136"/>
    <w:bookmarkEnd w:id="135"/>
    <w:p>
      <w:pPr>
        <w:ind w:right="140"/>
        <w:spacing w:after="0" w:line="258" w:lineRule="auto"/>
        <w:rPr>
          <w:sz w:val="20"/>
          <w:szCs w:val="20"/>
          <w:color w:val="auto"/>
        </w:rPr>
      </w:pPr>
      <w:r>
        <w:rPr>
          <w:rFonts w:ascii="Times New Roman" w:cs="Times New Roman" w:eastAsia="Times New Roman" w:hAnsi="Times New Roman"/>
          <w:sz w:val="16"/>
          <w:szCs w:val="16"/>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“Item 10. Additional Information—E. Taxation—Material U.S. Federal Income Tax Considerations—U.S.</w:t>
      </w:r>
    </w:p>
    <w:p>
      <w:pPr>
        <w:spacing w:after="0" w:line="9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7"/>
          <w:szCs w:val="17"/>
          <w:color w:val="auto"/>
        </w:rPr>
        <w:t>Federal Income Taxation of U.S. Holders—Sale, Exchange or Other Disposition of Common Units” and “Item 10. Additional Information—E. Taxation —Material U.S. Federal Income Tax Considerations—U.S. Federal Income Taxation of Non-U.S. Holders—Disposition of Common Units” in the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9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shall consist of eight persons, three of whom are appointed by our General Partner in its sole discretion and five of whom are elected by the common unitholders. Three of the five elected directors</w:t>
      </w:r>
    </w:p>
    <w:p>
      <w:pPr>
        <w:ind w:right="20"/>
        <w:spacing w:after="0" w:line="229" w:lineRule="auto"/>
        <w:tabs>
          <w:tab w:leader="none" w:pos="227"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security holders, officers or employees of our General Partner, directors, officers or employees of any affiliate of our General Partner or holders of any interest in the partnership group (other than our common units) and (b) shall meet the required independence standards.</w:t>
      </w:r>
    </w:p>
    <w:p>
      <w:pPr>
        <w:spacing w:after="0" w:line="12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43" w:lineRule="exact"/>
        <w:rPr>
          <w:sz w:val="20"/>
          <w:szCs w:val="20"/>
          <w:color w:val="auto"/>
        </w:rPr>
      </w:pPr>
    </w:p>
    <w:p>
      <w:pPr>
        <w:ind w:left="640" w:right="2660"/>
        <w:spacing w:after="0" w:line="271" w:lineRule="auto"/>
        <w:rPr>
          <w:sz w:val="20"/>
          <w:szCs w:val="20"/>
          <w:color w:val="auto"/>
        </w:rPr>
      </w:pPr>
      <w:r>
        <w:rPr>
          <w:rFonts w:ascii="Times New Roman" w:cs="Times New Roman" w:eastAsia="Times New Roman" w:hAnsi="Times New Roman"/>
          <w:sz w:val="17"/>
          <w:szCs w:val="17"/>
          <w:color w:val="auto"/>
        </w:rPr>
        <w:t>the name and address of the limited partner or limited partners making the nomination or nominations; the number of common units beneficially owned by the limited partner or limited partners;</w:t>
      </w:r>
    </w:p>
    <w:p>
      <w:pPr>
        <w:spacing w:after="0" w:line="1" w:lineRule="exact"/>
        <w:rPr>
          <w:sz w:val="20"/>
          <w:szCs w:val="20"/>
          <w:color w:val="auto"/>
        </w:rPr>
      </w:pPr>
    </w:p>
    <w:p>
      <w:pPr>
        <w:ind w:left="800" w:right="180" w:hanging="160"/>
        <w:spacing w:after="0" w:line="230" w:lineRule="auto"/>
        <w:rPr>
          <w:sz w:val="20"/>
          <w:szCs w:val="20"/>
          <w:color w:val="auto"/>
        </w:rPr>
      </w:pPr>
      <w:r>
        <w:rPr>
          <w:rFonts w:ascii="Times New Roman" w:cs="Times New Roman" w:eastAsia="Times New Roman" w:hAnsi="Times New Roman"/>
          <w:sz w:val="17"/>
          <w:szCs w:val="17"/>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written consent of the nominee(s) to serve as a member of our board of directors if so elected; and</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certification that the nominee(s) qualify as “elected directors” within the meaning of the Partnership Agreement.</w:t>
      </w:r>
    </w:p>
    <w:p>
      <w:pPr>
        <w:spacing w:after="0" w:line="18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Our General Partner may remove an appointed board member with or without cause at any time. “Cause” generally means a court’s final, non-appealable judgment finding a person liable for actual fraud or willful misconduct in his or her capacity as a director.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may be 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Voting</w:t>
      </w:r>
    </w:p>
    <w:p>
      <w:pPr>
        <w:spacing w:after="0" w:line="9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8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7"/>
          <w:szCs w:val="17"/>
          <w:color w:val="auto"/>
        </w:rPr>
        <w:t>We will hold a meeting of the limited partners every year to elect one or more members of our board of directors and to vote on any other matters that are properly brought before the meeting.</w:t>
      </w:r>
    </w:p>
    <w:p>
      <w:pPr>
        <w:spacing w:after="0" w:line="10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9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6"/>
          <w:szCs w:val="16"/>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24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136" w:name="page137"/>
    <w:bookmarkEnd w:id="136"/>
    <w:p>
      <w:pPr>
        <w:ind w:right="40"/>
        <w:spacing w:after="0" w:line="227" w:lineRule="auto"/>
        <w:rPr>
          <w:sz w:val="20"/>
          <w:szCs w:val="20"/>
          <w:color w:val="auto"/>
        </w:rPr>
      </w:pPr>
      <w:r>
        <w:rPr>
          <w:rFonts w:ascii="Times New Roman" w:cs="Times New Roman" w:eastAsia="Times New Roman" w:hAnsi="Times New Roman"/>
          <w:sz w:val="17"/>
          <w:szCs w:val="17"/>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1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 as Limited Partner or Assignee</w:t>
      </w:r>
    </w:p>
    <w:p>
      <w:pPr>
        <w:spacing w:after="0" w:line="9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Except as described above under “—Limited Liability,” the common units will be fully paid, and unitholders will not be required to make additional contributions. By transfer of common units in accordance with our Partnership Agreement, each transferee of common units shall be admitted as a limited partner with respect to the common units transferred when such transfer and admission is reflected in our books and records.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0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33" w:lineRule="exact"/>
        <w:rPr>
          <w:sz w:val="20"/>
          <w:szCs w:val="20"/>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Partner;</w:t>
      </w:r>
    </w:p>
    <w:p>
      <w:pPr>
        <w:spacing w:after="0" w:line="105"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departing general partner;</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was an affiliate of our general partner or any departing general partner;</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was an officer, director, member, partner fiduciary or trustee of any entity described in (1), (2) or (3) above;</w:t>
      </w:r>
    </w:p>
    <w:p>
      <w:pPr>
        <w:spacing w:after="0" w:line="117" w:lineRule="exact"/>
        <w:rPr>
          <w:rFonts w:ascii="Times New Roman" w:cs="Times New Roman" w:eastAsia="Times New Roman" w:hAnsi="Times New Roman"/>
          <w:sz w:val="17"/>
          <w:szCs w:val="17"/>
          <w:color w:val="auto"/>
        </w:rPr>
      </w:pPr>
    </w:p>
    <w:p>
      <w:pPr>
        <w:ind w:left="780" w:right="80" w:hanging="429"/>
        <w:spacing w:after="0" w:line="302" w:lineRule="auto"/>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was serving as a director, officer, member, partner, fiduciary or trustee of another person at the request of our General Partner or any departing general partner;</w:t>
      </w:r>
    </w:p>
    <w:p>
      <w:pPr>
        <w:spacing w:after="0" w:line="9"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designated by our board of directors; and</w:t>
      </w:r>
    </w:p>
    <w:p>
      <w:pPr>
        <w:spacing w:after="0" w:line="117" w:lineRule="exact"/>
        <w:rPr>
          <w:rFonts w:ascii="Times New Roman" w:cs="Times New Roman" w:eastAsia="Times New Roman" w:hAnsi="Times New Roman"/>
          <w:sz w:val="17"/>
          <w:szCs w:val="17"/>
          <w:color w:val="auto"/>
        </w:rPr>
      </w:pPr>
    </w:p>
    <w:p>
      <w:pPr>
        <w:ind w:left="780" w:hanging="429"/>
        <w:spacing w:after="0"/>
        <w:tabs>
          <w:tab w:leader="none" w:pos="7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 of our board of directors.</w:t>
      </w:r>
    </w:p>
    <w:p>
      <w:pPr>
        <w:spacing w:after="0" w:line="1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of Expenses</w:t>
      </w:r>
    </w:p>
    <w:p>
      <w:pPr>
        <w:spacing w:after="0" w:line="97"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7"/>
          <w:szCs w:val="17"/>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Books and Reports</w:t>
      </w:r>
    </w:p>
    <w:p>
      <w:pPr>
        <w:spacing w:after="0" w:line="10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pacing w:after="0" w:line="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to Inspect Our Books and Records</w:t>
      </w:r>
    </w:p>
    <w:p>
      <w:pPr>
        <w:spacing w:after="0" w:line="109" w:lineRule="exact"/>
        <w:rPr>
          <w:sz w:val="20"/>
          <w:szCs w:val="20"/>
          <w:color w:val="auto"/>
        </w:rPr>
      </w:pPr>
    </w:p>
    <w:p>
      <w:pPr>
        <w:ind w:right="860"/>
        <w:spacing w:after="0" w:line="233" w:lineRule="auto"/>
        <w:rPr>
          <w:sz w:val="20"/>
          <w:szCs w:val="20"/>
          <w:color w:val="auto"/>
        </w:rPr>
      </w:pPr>
      <w:r>
        <w:rPr>
          <w:rFonts w:ascii="Times New Roman" w:cs="Times New Roman" w:eastAsia="Times New Roman" w:hAnsi="Times New Roman"/>
          <w:sz w:val="17"/>
          <w:szCs w:val="17"/>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current list of the name and last known addresses of each partner;</w:t>
      </w:r>
    </w:p>
    <w:p>
      <w:pPr>
        <w:spacing w:after="0" w:line="93" w:lineRule="exact"/>
        <w:rPr>
          <w:sz w:val="20"/>
          <w:szCs w:val="20"/>
          <w:color w:val="auto"/>
        </w:rPr>
      </w:pPr>
    </w:p>
    <w:p>
      <w:pPr>
        <w:ind w:left="800" w:right="420" w:hanging="160"/>
        <w:spacing w:after="0" w:line="233" w:lineRule="auto"/>
        <w:rPr>
          <w:sz w:val="20"/>
          <w:szCs w:val="20"/>
          <w:color w:val="auto"/>
        </w:rPr>
      </w:pPr>
      <w:r>
        <w:rPr>
          <w:rFonts w:ascii="Times New Roman" w:cs="Times New Roman" w:eastAsia="Times New Roman" w:hAnsi="Times New Roman"/>
          <w:sz w:val="17"/>
          <w:szCs w:val="17"/>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9" w:lineRule="exact"/>
        <w:rPr>
          <w:sz w:val="20"/>
          <w:szCs w:val="20"/>
          <w:color w:val="auto"/>
        </w:rPr>
      </w:pPr>
    </w:p>
    <w:p>
      <w:pPr>
        <w:ind w:left="800" w:right="460" w:hanging="160"/>
        <w:spacing w:after="0" w:line="233" w:lineRule="auto"/>
        <w:rPr>
          <w:sz w:val="20"/>
          <w:szCs w:val="20"/>
          <w:color w:val="auto"/>
        </w:rPr>
      </w:pPr>
      <w:r>
        <w:rPr>
          <w:rFonts w:ascii="Times New Roman" w:cs="Times New Roman" w:eastAsia="Times New Roman" w:hAnsi="Times New Roman"/>
          <w:sz w:val="17"/>
          <w:szCs w:val="17"/>
          <w:color w:val="auto"/>
        </w:rPr>
        <w:t>copies of the Partnership Agreement, the certificate of limited partnership of the partnership, related amendments and powers of attorney under which they have been executed;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information regarding the status of our business and financial position;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424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137" w:name="page138"/>
    <w:bookmarkEnd w:id="137"/>
    <w:p>
      <w:pPr>
        <w:ind w:left="640"/>
        <w:spacing w:after="0"/>
        <w:rPr>
          <w:sz w:val="20"/>
          <w:szCs w:val="20"/>
          <w:color w:val="auto"/>
        </w:rPr>
      </w:pPr>
      <w:r>
        <w:rPr>
          <w:rFonts w:ascii="Times New Roman" w:cs="Times New Roman" w:eastAsia="Times New Roman" w:hAnsi="Times New Roman"/>
          <w:sz w:val="17"/>
          <w:szCs w:val="17"/>
          <w:color w:val="auto"/>
        </w:rPr>
        <w:t>any other information regarding our affairs as is just and reasonable.</w:t>
      </w:r>
    </w:p>
    <w:p>
      <w:pPr>
        <w:spacing w:after="0" w:line="18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9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Under our Partnership Agreement, we have agreed to register for resale under the Securities Act of 1933, as amended and applicable state securities laws any common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Common Units</w:t>
      </w:r>
    </w:p>
    <w:p>
      <w:pPr>
        <w:spacing w:after="0" w:line="9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represents that the transferee has the capacity, power and authority to become bound by our Partnership Agreement;</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is bound by our Partnership Agreement;</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grants the powers of attorney set forth in the Partnership Agreement; and gives the consents and waivers contained in our Partnership Agreement.</w:t>
      </w:r>
    </w:p>
    <w:p>
      <w:pPr>
        <w:spacing w:after="0" w:line="180"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17"/>
          <w:szCs w:val="17"/>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8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96"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7"/>
          <w:szCs w:val="17"/>
          <w:color w:val="auto"/>
        </w:rPr>
        <w:t>A transferee will become a substituted limited partner of our partnership for the transferred common units automatically upon the recording of the transfer on our books and records.</w:t>
      </w:r>
    </w:p>
    <w:p>
      <w:pPr>
        <w:spacing w:after="0" w:line="96"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7"/>
          <w:szCs w:val="17"/>
          <w:color w:val="auto"/>
        </w:rPr>
        <w:t>We may, at our discretion, treat the nominee holder of a common unit as the absolute owner of such common units without further inquiry, except as otherwise provided by law or stock exchange regulations. In that case, we expect that the beneficial holder’s rights are limited solely to those that it has against the nominee holder as a result of any agreement between the beneficial owner and the nominee holder.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 of Available Cash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discussion of distributions of available cash, please read “Item 8. Financial Information—How We Make Cash Distributions” in our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97"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17"/>
          <w:szCs w:val="17"/>
          <w:color w:val="auto"/>
        </w:rPr>
        <w:t>Within approximately 45 days after the end of each quarter, subject to legal limitations, we distribute all of our available cash to unitholders of record on the applicable record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of Available Cash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cash means, for each fiscal quarter, all cash and cash equivalents on hand at the end of the quarter:</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less the amount of cash reserves established by our board of directors to:</w:t>
      </w:r>
    </w:p>
    <w:p>
      <w:pPr>
        <w:spacing w:after="0" w:line="118" w:lineRule="exact"/>
        <w:rPr>
          <w:sz w:val="20"/>
          <w:szCs w:val="20"/>
          <w:color w:val="auto"/>
        </w:rPr>
      </w:pPr>
    </w:p>
    <w:p>
      <w:pPr>
        <w:ind w:left="640" w:right="660"/>
        <w:spacing w:after="0" w:line="271" w:lineRule="auto"/>
        <w:rPr>
          <w:sz w:val="20"/>
          <w:szCs w:val="20"/>
          <w:color w:val="auto"/>
        </w:rPr>
      </w:pPr>
      <w:r>
        <w:rPr>
          <w:rFonts w:ascii="Times New Roman" w:cs="Times New Roman" w:eastAsia="Times New Roman" w:hAnsi="Times New Roman"/>
          <w:sz w:val="17"/>
          <w:szCs w:val="17"/>
          <w:color w:val="auto"/>
        </w:rPr>
        <w:t>provide for the proper conduct of our business (including reserves for future capital expenditures and for our anticipated credit needs); comply with applicable law, any of our debt instruments, or other agreements; or</w:t>
      </w:r>
    </w:p>
    <w:p>
      <w:pPr>
        <w:spacing w:after="0" w:line="1" w:lineRule="exact"/>
        <w:rPr>
          <w:sz w:val="20"/>
          <w:szCs w:val="20"/>
          <w:color w:val="auto"/>
        </w:rPr>
      </w:pPr>
    </w:p>
    <w:p>
      <w:pPr>
        <w:ind w:left="800" w:right="20" w:hanging="160"/>
        <w:spacing w:after="0" w:line="230" w:lineRule="auto"/>
        <w:rPr>
          <w:sz w:val="20"/>
          <w:szCs w:val="20"/>
          <w:color w:val="auto"/>
        </w:rPr>
      </w:pPr>
      <w:r>
        <w:rPr>
          <w:rFonts w:ascii="Times New Roman" w:cs="Times New Roman" w:eastAsia="Times New Roman" w:hAnsi="Times New Roman"/>
          <w:sz w:val="17"/>
          <w:szCs w:val="17"/>
          <w:color w:val="auto"/>
        </w:rPr>
        <w:t>to the extent permitted under our Partnership Agreement, provide funds for distributions to our unitholders and to our General Partner for any one or more of the next four quarters;</w:t>
      </w:r>
    </w:p>
    <w:p>
      <w:pPr>
        <w:spacing w:after="0" w:line="1" w:lineRule="exact"/>
        <w:rPr>
          <w:sz w:val="20"/>
          <w:szCs w:val="20"/>
          <w:color w:val="auto"/>
        </w:rPr>
      </w:pPr>
    </w:p>
    <w:p>
      <w:pPr>
        <w:ind w:left="800" w:right="260" w:hanging="160"/>
        <w:spacing w:after="0" w:line="220" w:lineRule="auto"/>
        <w:rPr>
          <w:sz w:val="20"/>
          <w:szCs w:val="20"/>
          <w:color w:val="auto"/>
        </w:rPr>
      </w:pPr>
      <w:r>
        <w:rPr>
          <w:rFonts w:ascii="Times New Roman" w:cs="Times New Roman" w:eastAsia="Times New Roman" w:hAnsi="Times New Roman"/>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Minimum Quarterly Distribution</w:t>
      </w:r>
    </w:p>
    <w:p>
      <w:pPr>
        <w:spacing w:after="0" w:line="9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Our Partnership Agreement provides that the minimum quarterly distribution on our common units is (on a pre-reverse split-adjusted basis) $0.2325 per unit, which is equal to $0.93 per unit per year, or (on a reverse split-adjusted basis)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1424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 Policy</w:t>
      </w:r>
    </w:p>
    <w:p>
      <w:pPr>
        <w:spacing w:after="0" w:line="97"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7"/>
          <w:szCs w:val="17"/>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1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ind w:left="640"/>
        <w:spacing w:after="0" w:line="232" w:lineRule="auto"/>
        <w:rPr>
          <w:sz w:val="20"/>
          <w:szCs w:val="20"/>
          <w:color w:val="auto"/>
        </w:rPr>
      </w:pPr>
      <w:r>
        <w:rPr>
          <w:rFonts w:ascii="Times New Roman" w:cs="Times New Roman" w:eastAsia="Times New Roman" w:hAnsi="Times New Roman"/>
          <w:sz w:val="17"/>
          <w:szCs w:val="17"/>
          <w:color w:val="auto"/>
        </w:rPr>
        <w:t>Our common unitholders have no contractual or other legal right to receive distributions other than the right under our Partnership Agreement to receive</w:t>
      </w:r>
    </w:p>
    <w:p>
      <w:pPr>
        <w:ind w:left="800" w:right="400"/>
        <w:spacing w:after="0" w:line="214" w:lineRule="auto"/>
        <w:rPr>
          <w:sz w:val="20"/>
          <w:szCs w:val="20"/>
          <w:color w:val="auto"/>
        </w:rPr>
      </w:pPr>
      <w:r>
        <w:rPr>
          <w:rFonts w:ascii="Times New Roman" w:cs="Times New Roman" w:eastAsia="Times New Roman" w:hAnsi="Times New Roman"/>
          <w:sz w:val="17"/>
          <w:szCs w:val="17"/>
          <w:color w:val="auto"/>
        </w:rPr>
        <w:t>available cash on a quarterly basis. Our board of directors has broad discretion to establish reserves and other limitations in determining the amount of available cash.</w:t>
      </w:r>
    </w:p>
    <w:p>
      <w:pPr>
        <w:spacing w:after="0" w:line="9" w:lineRule="exact"/>
        <w:rPr>
          <w:sz w:val="20"/>
          <w:szCs w:val="20"/>
          <w:color w:val="auto"/>
        </w:rPr>
      </w:pPr>
    </w:p>
    <w:p>
      <w:pPr>
        <w:jc w:val="right"/>
        <w:ind w:left="640" w:right="500"/>
        <w:spacing w:after="0" w:line="203" w:lineRule="auto"/>
        <w:rPr>
          <w:sz w:val="20"/>
          <w:szCs w:val="20"/>
          <w:color w:val="auto"/>
        </w:rPr>
      </w:pPr>
      <w:r>
        <w:rPr>
          <w:rFonts w:ascii="Times New Roman" w:cs="Times New Roman" w:eastAsia="Times New Roman" w:hAnsi="Times New Roman"/>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w:t>
      </w:r>
    </w:p>
    <w:p>
      <w:pPr>
        <w:ind w:left="800"/>
        <w:spacing w:after="0"/>
        <w:rPr>
          <w:sz w:val="20"/>
          <w:szCs w:val="20"/>
          <w:color w:val="auto"/>
        </w:rPr>
      </w:pPr>
      <w:r>
        <w:rPr>
          <w:rFonts w:ascii="Times New Roman" w:cs="Times New Roman" w:eastAsia="Times New Roman" w:hAnsi="Times New Roman"/>
          <w:sz w:val="17"/>
          <w:szCs w:val="17"/>
          <w:color w:val="auto"/>
        </w:rPr>
        <w:t>of a majority of the outstanding common units.</w:t>
      </w:r>
    </w:p>
    <w:p>
      <w:pPr>
        <w:ind w:left="640"/>
        <w:spacing w:after="0" w:line="221" w:lineRule="auto"/>
        <w:rPr>
          <w:sz w:val="20"/>
          <w:szCs w:val="20"/>
          <w:color w:val="auto"/>
        </w:rPr>
      </w:pPr>
      <w:r>
        <w:rPr>
          <w:rFonts w:ascii="Times New Roman" w:cs="Times New Roman" w:eastAsia="Times New Roman" w:hAnsi="Times New Roman"/>
          <w:sz w:val="17"/>
          <w:szCs w:val="17"/>
          <w:color w:val="auto"/>
        </w:rPr>
        <w:t>Even if our cash distribution policy is not modified or revoked, the amount of distributions we pay under our cash distribution policy and the decision to</w:t>
      </w:r>
    </w:p>
    <w:p>
      <w:pPr>
        <w:ind w:left="800" w:right="240"/>
        <w:spacing w:after="0" w:line="214" w:lineRule="auto"/>
        <w:rPr>
          <w:sz w:val="20"/>
          <w:szCs w:val="20"/>
          <w:color w:val="auto"/>
        </w:rPr>
      </w:pPr>
      <w:r>
        <w:rPr>
          <w:rFonts w:ascii="Times New Roman" w:cs="Times New Roman" w:eastAsia="Times New Roman" w:hAnsi="Times New Roman"/>
          <w:sz w:val="17"/>
          <w:szCs w:val="17"/>
          <w:color w:val="auto"/>
        </w:rPr>
        <w:t>make any distribution is determined by our board of directors, taking into consideration the terms of our Partnership Agreement and the establishment of any reserves for the prudent conduct of our business.</w:t>
      </w:r>
    </w:p>
    <w:p>
      <w:pPr>
        <w:spacing w:after="0" w:line="9" w:lineRule="exact"/>
        <w:rPr>
          <w:sz w:val="20"/>
          <w:szCs w:val="20"/>
          <w:color w:val="auto"/>
        </w:rPr>
      </w:pPr>
    </w:p>
    <w:p>
      <w:pPr>
        <w:ind w:left="800" w:right="300" w:hanging="160"/>
        <w:spacing w:after="0" w:line="209" w:lineRule="auto"/>
        <w:rPr>
          <w:sz w:val="20"/>
          <w:szCs w:val="20"/>
          <w:color w:val="auto"/>
        </w:rPr>
      </w:pPr>
      <w:r>
        <w:rPr>
          <w:rFonts w:ascii="Times New Roman" w:cs="Times New Roman" w:eastAsia="Times New Roman" w:hAnsi="Times New Roman"/>
          <w:sz w:val="16"/>
          <w:szCs w:val="16"/>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w:t>
      </w:r>
    </w:p>
    <w:p>
      <w:pPr>
        <w:ind w:left="800"/>
        <w:spacing w:after="0" w:line="185" w:lineRule="auto"/>
        <w:rPr>
          <w:sz w:val="20"/>
          <w:szCs w:val="20"/>
          <w:color w:val="auto"/>
        </w:rPr>
      </w:pPr>
      <w:r>
        <w:rPr>
          <w:rFonts w:ascii="Times New Roman" w:cs="Times New Roman" w:eastAsia="Times New Roman" w:hAnsi="Times New Roman"/>
          <w:sz w:val="17"/>
          <w:szCs w:val="17"/>
          <w:color w:val="auto"/>
        </w:rPr>
        <w:t>limited shall be included in our assets only to the extent that the fair value of that property exceeds that liability.</w:t>
      </w:r>
    </w:p>
    <w:p>
      <w:pPr>
        <w:ind w:left="640"/>
        <w:spacing w:after="0" w:line="200" w:lineRule="auto"/>
        <w:rPr>
          <w:sz w:val="20"/>
          <w:szCs w:val="20"/>
          <w:color w:val="auto"/>
        </w:rPr>
      </w:pPr>
      <w:r>
        <w:rPr>
          <w:rFonts w:ascii="Times New Roman" w:cs="Times New Roman" w:eastAsia="Times New Roman" w:hAnsi="Times New Roman"/>
          <w:sz w:val="17"/>
          <w:szCs w:val="17"/>
          <w:color w:val="auto"/>
        </w:rPr>
        <w:t>We may lack sufficient cash to pay distributions on our common units due to, among other things, decreases in net revenues or increases in operating</w:t>
      </w:r>
    </w:p>
    <w:p>
      <w:pPr>
        <w:ind w:left="800" w:right="780"/>
        <w:spacing w:after="0" w:line="214" w:lineRule="auto"/>
        <w:rPr>
          <w:sz w:val="20"/>
          <w:szCs w:val="20"/>
          <w:color w:val="auto"/>
        </w:rPr>
      </w:pPr>
      <w:r>
        <w:rPr>
          <w:rFonts w:ascii="Times New Roman" w:cs="Times New Roman" w:eastAsia="Times New Roman" w:hAnsi="Times New Roman"/>
          <w:sz w:val="17"/>
          <w:szCs w:val="17"/>
          <w:color w:val="auto"/>
        </w:rPr>
        <w:t>expenses, principal and interest payments on outstanding debt, tax expenses, working capital requirements, maintenance and replacement capital expenditures or anticipated cash needs.</w:t>
      </w:r>
    </w:p>
    <w:p>
      <w:pPr>
        <w:spacing w:after="0" w:line="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16"/>
          <w:szCs w:val="16"/>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w:t>
      </w:r>
    </w:p>
    <w:p>
      <w:pPr>
        <w:spacing w:after="0" w:line="1" w:lineRule="exact"/>
        <w:rPr>
          <w:sz w:val="20"/>
          <w:szCs w:val="20"/>
          <w:color w:val="auto"/>
        </w:rPr>
      </w:pPr>
    </w:p>
    <w:p>
      <w:pPr>
        <w:ind w:left="800" w:right="600"/>
        <w:spacing w:after="0" w:line="214" w:lineRule="auto"/>
        <w:rPr>
          <w:sz w:val="20"/>
          <w:szCs w:val="20"/>
          <w:color w:val="auto"/>
        </w:rPr>
      </w:pPr>
      <w:r>
        <w:rPr>
          <w:rFonts w:ascii="Times New Roman" w:cs="Times New Roman" w:eastAsia="Times New Roman" w:hAnsi="Times New Roman"/>
          <w:sz w:val="17"/>
          <w:szCs w:val="17"/>
          <w:color w:val="auto"/>
        </w:rPr>
        <w:t>credit agreements, our ability to make cash distributions to our unitholders, notwithstanding our stated cash distribution policy, would be materially adversely affected.</w:t>
      </w:r>
    </w:p>
    <w:p>
      <w:pPr>
        <w:ind w:left="800" w:right="480" w:hanging="160"/>
        <w:spacing w:after="0" w:line="245" w:lineRule="auto"/>
        <w:rPr>
          <w:sz w:val="20"/>
          <w:szCs w:val="20"/>
          <w:color w:val="auto"/>
        </w:rPr>
      </w:pPr>
      <w:r>
        <w:rPr>
          <w:rFonts w:ascii="Times New Roman" w:cs="Times New Roman" w:eastAsia="Times New Roman" w:hAnsi="Times New Roman"/>
          <w:sz w:val="16"/>
          <w:szCs w:val="16"/>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ind w:left="800" w:right="360" w:hanging="160"/>
        <w:spacing w:after="0" w:line="220" w:lineRule="auto"/>
        <w:rPr>
          <w:sz w:val="20"/>
          <w:szCs w:val="20"/>
          <w:color w:val="auto"/>
        </w:rPr>
      </w:pPr>
      <w:r>
        <w:rPr>
          <w:rFonts w:ascii="Times New Roman" w:cs="Times New Roman" w:eastAsia="Times New Roman" w:hAnsi="Times New Roman"/>
          <w:sz w:val="17"/>
          <w:szCs w:val="17"/>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97"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7"/>
          <w:szCs w:val="17"/>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of Cash Upon Liquidation</w:t>
      </w:r>
    </w:p>
    <w:p>
      <w:pPr>
        <w:spacing w:after="0" w:line="97"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7"/>
          <w:szCs w:val="17"/>
          <w:color w:val="auto"/>
        </w:rPr>
        <w:t>If we dissolve in accordance with the Partnership Agreement, we will sell or otherwise dispose of our assets in a process called liquidation. We will apply the proceeds of liquidation in the manner set forth below. If, as of the date three trading days prior to the announcement of the proposed liquidation, the average closing price for our common units for the preceding 20 trading days (or the current market price) is greater than the sum of:</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initial unit price of the common units issued in our initial public offering (adjusted as our board of directors determines to be appropriate to give effect to</w:t>
      </w:r>
    </w:p>
    <w:p>
      <w:pPr>
        <w:ind w:left="800" w:right="240"/>
        <w:spacing w:after="0" w:line="204" w:lineRule="auto"/>
        <w:rPr>
          <w:sz w:val="20"/>
          <w:szCs w:val="20"/>
          <w:color w:val="auto"/>
        </w:rPr>
      </w:pPr>
      <w:r>
        <w:rPr>
          <w:rFonts w:ascii="Times New Roman" w:cs="Times New Roman" w:eastAsia="Times New Roman" w:hAnsi="Times New Roman"/>
          <w:sz w:val="16"/>
          <w:szCs w:val="16"/>
          <w:color w:val="auto"/>
        </w:rPr>
        <w:t>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w:t>
      </w:r>
    </w:p>
    <w:p>
      <w:pPr>
        <w:ind w:left="800"/>
        <w:spacing w:after="0" w:line="200" w:lineRule="auto"/>
        <w:rPr>
          <w:sz w:val="20"/>
          <w:szCs w:val="20"/>
          <w:color w:val="auto"/>
        </w:rPr>
      </w:pPr>
      <w:r>
        <w:rPr>
          <w:rFonts w:ascii="Times New Roman" w:cs="Times New Roman" w:eastAsia="Times New Roman" w:hAnsi="Times New Roman"/>
          <w:sz w:val="17"/>
          <w:szCs w:val="17"/>
          <w:color w:val="auto"/>
        </w:rPr>
        <w:t>be applied as follows:</w:t>
      </w:r>
    </w:p>
    <w:p>
      <w:pPr>
        <w:ind w:left="800" w:right="200" w:hanging="160"/>
        <w:spacing w:after="0" w:line="229" w:lineRule="auto"/>
        <w:rPr>
          <w:sz w:val="20"/>
          <w:szCs w:val="20"/>
          <w:color w:val="auto"/>
        </w:rPr>
      </w:pPr>
      <w:r>
        <w:rPr>
          <w:rFonts w:ascii="Times New Roman" w:cs="Times New Roman" w:eastAsia="Times New Roman" w:hAnsi="Times New Roman"/>
          <w:sz w:val="17"/>
          <w:szCs w:val="17"/>
          <w:color w:val="auto"/>
        </w:rPr>
        <w:t>first, 98.0% to the common unitholders, pro rata, and 2.0% to our General Partner, until we distribute for each outstanding common unit an amount equal to the current market price of our common units; and</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 50.0% to all unitholders, pro rata, 48.0% to holders of incentive distribution rights and 2.0% to our General Partner.</w:t>
      </w:r>
    </w:p>
    <w:p>
      <w:pPr>
        <w:spacing w:after="0" w:line="168"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7"/>
          <w:szCs w:val="17"/>
          <w:color w:val="auto"/>
        </w:rPr>
        <w:t>If, as of the date three trading days prior to the announcement of the proposed liquidation, the current market price of our common units is equal to or less than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1424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39" w:name="page140"/>
    <w:bookmarkEnd w:id="139"/>
    <w:p>
      <w:pPr>
        <w:ind w:left="800" w:right="580" w:hanging="160"/>
        <w:spacing w:after="0" w:line="232" w:lineRule="auto"/>
        <w:rPr>
          <w:sz w:val="20"/>
          <w:szCs w:val="20"/>
          <w:color w:val="auto"/>
        </w:rPr>
      </w:pPr>
      <w:r>
        <w:rPr>
          <w:rFonts w:ascii="Times New Roman" w:cs="Times New Roman" w:eastAsia="Times New Roman" w:hAnsi="Times New Roman"/>
          <w:sz w:val="16"/>
          <w:szCs w:val="16"/>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w:t>
      </w:r>
    </w:p>
    <w:p>
      <w:pPr>
        <w:ind w:left="800" w:right="700"/>
        <w:spacing w:after="0" w:line="221" w:lineRule="auto"/>
        <w:rPr>
          <w:sz w:val="20"/>
          <w:szCs w:val="20"/>
          <w:color w:val="auto"/>
        </w:rPr>
      </w:pPr>
      <w:r>
        <w:rPr>
          <w:rFonts w:ascii="Times New Roman" w:cs="Times New Roman" w:eastAsia="Times New Roman" w:hAnsi="Times New Roman"/>
          <w:sz w:val="17"/>
          <w:szCs w:val="17"/>
          <w:color w:val="auto"/>
        </w:rPr>
        <w:t>Transaction) (less any prior capital surplus distributions and any prior cash distributions made in connection with a partial liquidation); then the proceeds of the liquidation will be applied as follows:</w:t>
      </w:r>
    </w:p>
    <w:p>
      <w:pPr>
        <w:spacing w:after="0" w:line="23" w:lineRule="exact"/>
        <w:rPr>
          <w:sz w:val="20"/>
          <w:szCs w:val="20"/>
          <w:color w:val="auto"/>
        </w:rPr>
      </w:pPr>
    </w:p>
    <w:p>
      <w:pPr>
        <w:jc w:val="both"/>
        <w:ind w:left="800" w:hanging="160"/>
        <w:spacing w:after="0" w:line="243" w:lineRule="auto"/>
        <w:rPr>
          <w:sz w:val="20"/>
          <w:szCs w:val="20"/>
          <w:color w:val="auto"/>
        </w:rPr>
      </w:pPr>
      <w:r>
        <w:rPr>
          <w:rFonts w:ascii="Times New Roman" w:cs="Times New Roman" w:eastAsia="Times New Roman" w:hAnsi="Times New Roman"/>
          <w:sz w:val="17"/>
          <w:szCs w:val="17"/>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 and</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 50.0% to all unitholders, pro rata, 48.0% to holders of incentive distribution rights and 2.0% to our General Partner.</w:t>
      </w:r>
    </w:p>
    <w:p>
      <w:pPr>
        <w:spacing w:after="0" w:line="18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7"/>
          <w:szCs w:val="17"/>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the Annual Report, our General Partner holds a 1.7% general partner interest.</w:t>
      </w:r>
    </w:p>
    <w:p>
      <w:pPr>
        <w:sectPr>
          <w:pgSz w:w="11900" w:h="16838" w:orient="portrait"/>
          <w:cols w:equalWidth="0" w:num="1">
            <w:col w:w="11080"/>
          </w:cols>
          <w:pgMar w:left="320" w:top="537" w:right="499" w:bottom="1440" w:gutter="0" w:footer="0" w:header="0"/>
        </w:sectPr>
      </w:pPr>
    </w:p>
    <w:bookmarkStart w:id="140" w:name="page141"/>
    <w:bookmarkEnd w:id="140"/>
    <w:p>
      <w:pPr>
        <w:jc w:val="center"/>
        <w:spacing w:after="0"/>
        <w:rPr>
          <w:sz w:val="20"/>
          <w:szCs w:val="20"/>
          <w:color w:val="auto"/>
        </w:rPr>
      </w:pPr>
      <w:r>
        <w:rPr>
          <w:rFonts w:ascii="Calibri" w:cs="Calibri" w:eastAsia="Calibri" w:hAnsi="Calibri"/>
          <w:sz w:val="18"/>
          <w:szCs w:val="18"/>
          <w:b w:val="1"/>
          <w:bCs w:val="1"/>
          <w:color w:val="auto"/>
        </w:rPr>
        <w:t>Dated ___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CAPITAL PRODUCT PARTNERS L.P.</w:t>
      </w:r>
    </w:p>
    <w:p>
      <w:pPr>
        <w:jc w:val="center"/>
        <w:spacing w:after="0" w:line="218" w:lineRule="auto"/>
        <w:rPr>
          <w:sz w:val="20"/>
          <w:szCs w:val="20"/>
          <w:color w:val="auto"/>
        </w:rPr>
      </w:pPr>
      <w:r>
        <w:rPr>
          <w:rFonts w:ascii="Calibri" w:cs="Calibri" w:eastAsia="Calibri" w:hAnsi="Calibri"/>
          <w:sz w:val="18"/>
          <w:szCs w:val="18"/>
          <w:color w:val="auto"/>
        </w:rPr>
        <w:t>as Borrower</w:t>
      </w:r>
    </w:p>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and</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THE BANKS AND FINANCIAL INSTITUITONS</w:t>
      </w:r>
    </w:p>
    <w:p>
      <w:pPr>
        <w:jc w:val="center"/>
        <w:spacing w:after="0" w:line="218" w:lineRule="auto"/>
        <w:rPr>
          <w:sz w:val="20"/>
          <w:szCs w:val="20"/>
          <w:color w:val="auto"/>
        </w:rPr>
      </w:pPr>
      <w:r>
        <w:rPr>
          <w:rFonts w:ascii="Calibri" w:cs="Calibri" w:eastAsia="Calibri" w:hAnsi="Calibri"/>
          <w:sz w:val="18"/>
          <w:szCs w:val="18"/>
          <w:b w:val="1"/>
          <w:bCs w:val="1"/>
          <w:color w:val="auto"/>
        </w:rPr>
        <w:t>listed in schedule 1</w:t>
      </w:r>
    </w:p>
    <w:p>
      <w:pPr>
        <w:jc w:val="center"/>
        <w:spacing w:after="0" w:line="219" w:lineRule="auto"/>
        <w:rPr>
          <w:sz w:val="20"/>
          <w:szCs w:val="20"/>
          <w:color w:val="auto"/>
        </w:rPr>
      </w:pPr>
      <w:r>
        <w:rPr>
          <w:rFonts w:ascii="Calibri" w:cs="Calibri" w:eastAsia="Calibri" w:hAnsi="Calibri"/>
          <w:sz w:val="18"/>
          <w:szCs w:val="18"/>
          <w:color w:val="auto"/>
        </w:rPr>
        <w:t>as Lenders</w:t>
      </w:r>
    </w:p>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and</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HAMBURG COMMERCIAL BANK AG</w:t>
      </w:r>
    </w:p>
    <w:p>
      <w:pPr>
        <w:jc w:val="center"/>
        <w:spacing w:after="0" w:line="218" w:lineRule="auto"/>
        <w:rPr>
          <w:sz w:val="20"/>
          <w:szCs w:val="20"/>
          <w:color w:val="auto"/>
        </w:rPr>
      </w:pPr>
      <w:r>
        <w:rPr>
          <w:rFonts w:ascii="Calibri" w:cs="Calibri" w:eastAsia="Calibri" w:hAnsi="Calibri"/>
          <w:sz w:val="18"/>
          <w:szCs w:val="18"/>
          <w:color w:val="auto"/>
        </w:rPr>
        <w:t>as Agent, Mandated Lead Arranger, Bookrunner</w:t>
      </w:r>
    </w:p>
    <w:p>
      <w:pPr>
        <w:jc w:val="center"/>
        <w:spacing w:after="0" w:line="219" w:lineRule="auto"/>
        <w:rPr>
          <w:sz w:val="20"/>
          <w:szCs w:val="20"/>
          <w:color w:val="auto"/>
        </w:rPr>
      </w:pPr>
      <w:r>
        <w:rPr>
          <w:rFonts w:ascii="Calibri" w:cs="Calibri" w:eastAsia="Calibri" w:hAnsi="Calibri"/>
          <w:sz w:val="18"/>
          <w:szCs w:val="18"/>
          <w:color w:val="auto"/>
        </w:rPr>
        <w:t>and Security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0"/>
        <w:spacing w:after="0"/>
        <w:rPr>
          <w:sz w:val="20"/>
          <w:szCs w:val="20"/>
          <w:color w:val="auto"/>
        </w:rPr>
      </w:pPr>
      <w:r>
        <w:rPr>
          <w:rFonts w:ascii="Calibri" w:cs="Calibri" w:eastAsia="Calibri" w:hAnsi="Calibri"/>
          <w:sz w:val="18"/>
          <w:szCs w:val="18"/>
          <w:b w:val="1"/>
          <w:bCs w:val="1"/>
          <w:color w:val="auto"/>
        </w:rPr>
        <w:t>LOAN AGREEMENT</w:t>
      </w:r>
    </w:p>
    <w:p>
      <w:pPr>
        <w:spacing w:after="0" w:line="93" w:lineRule="exact"/>
        <w:rPr>
          <w:sz w:val="20"/>
          <w:szCs w:val="20"/>
          <w:color w:val="auto"/>
        </w:rPr>
      </w:pPr>
    </w:p>
    <w:p>
      <w:pPr>
        <w:ind w:left="4560"/>
        <w:spacing w:after="0"/>
        <w:rPr>
          <w:sz w:val="20"/>
          <w:szCs w:val="20"/>
          <w:color w:val="auto"/>
        </w:rPr>
      </w:pPr>
      <w:r>
        <w:rPr>
          <w:rFonts w:ascii="Calibri" w:cs="Calibri" w:eastAsia="Calibri" w:hAnsi="Calibri"/>
          <w:sz w:val="18"/>
          <w:szCs w:val="18"/>
          <w:color w:val="auto"/>
        </w:rPr>
        <w:t>relatng to</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 senior secured term loan facility of up to US$105,000,000</w:t>
      </w:r>
    </w:p>
    <w:p>
      <w:pPr>
        <w:jc w:val="center"/>
        <w:spacing w:after="0" w:line="232" w:lineRule="auto"/>
        <w:rPr>
          <w:sz w:val="20"/>
          <w:szCs w:val="20"/>
          <w:color w:val="auto"/>
        </w:rPr>
      </w:pPr>
      <w:r>
        <w:rPr>
          <w:rFonts w:ascii="Calibri" w:cs="Calibri" w:eastAsia="Calibri" w:hAnsi="Calibri"/>
          <w:sz w:val="18"/>
          <w:szCs w:val="18"/>
          <w:color w:val="auto"/>
        </w:rPr>
        <w:t>to provide fnance secured on one 2022-built Neo-Panamax container carrier of 13,278 TEU to be named "MANZANILLO EXPRESS"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139700</wp:posOffset>
            </wp:positionV>
            <wp:extent cx="835025" cy="246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835025" cy="246380"/>
                    </a:xfrm>
                    <a:prstGeom prst="rect">
                      <a:avLst/>
                    </a:prstGeom>
                    <a:noFill/>
                  </pic:spPr>
                </pic:pic>
              </a:graphicData>
            </a:graphic>
          </wp:anchor>
        </w:drawing>
      </w:r>
    </w:p>
    <w:p>
      <w:pPr>
        <w:sectPr>
          <w:pgSz w:w="11900" w:h="16838" w:orient="portrait"/>
          <w:cols w:equalWidth="0" w:num="1">
            <w:col w:w="9880"/>
          </w:cols>
          <w:pgMar w:left="1000" w:top="703" w:right="10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0"/>
        </w:trPr>
        <w:tc>
          <w:tcPr>
            <w:tcW w:w="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6640" w:type="dxa"/>
            <w:vAlign w:val="bottom"/>
          </w:tcPr>
          <w:p>
            <w:pPr>
              <w:jc w:val="right"/>
              <w:ind w:right="5308"/>
              <w:spacing w:after="0"/>
              <w:rPr>
                <w:sz w:val="20"/>
                <w:szCs w:val="20"/>
                <w:color w:val="auto"/>
              </w:rPr>
            </w:pPr>
            <w:r>
              <w:rPr>
                <w:rFonts w:ascii="Calibri" w:cs="Calibri" w:eastAsia="Calibri" w:hAnsi="Calibri"/>
                <w:sz w:val="18"/>
                <w:szCs w:val="18"/>
                <w:color w:val="auto"/>
              </w:rPr>
              <w:t>Index</w:t>
            </w:r>
          </w:p>
        </w:tc>
      </w:tr>
      <w:tr>
        <w:trPr>
          <w:trHeight w:val="401"/>
        </w:trPr>
        <w:tc>
          <w:tcPr>
            <w:tcW w:w="4600" w:type="dxa"/>
            <w:vAlign w:val="bottom"/>
            <w:gridSpan w:val="2"/>
          </w:tcPr>
          <w:p>
            <w:pPr>
              <w:spacing w:after="0"/>
              <w:rPr>
                <w:sz w:val="20"/>
                <w:szCs w:val="20"/>
                <w:color w:val="auto"/>
              </w:rPr>
            </w:pPr>
            <w:r>
              <w:rPr>
                <w:rFonts w:ascii="Calibri" w:cs="Calibri" w:eastAsia="Calibri" w:hAnsi="Calibri"/>
                <w:sz w:val="18"/>
                <w:szCs w:val="18"/>
                <w:b w:val="1"/>
                <w:bCs w:val="1"/>
                <w:color w:val="auto"/>
              </w:rPr>
              <w:t>Clause Page</w:t>
            </w:r>
          </w:p>
        </w:tc>
        <w:tc>
          <w:tcPr>
            <w:tcW w:w="6640" w:type="dxa"/>
            <w:vAlign w:val="bottom"/>
          </w:tcPr>
          <w:p>
            <w:pPr>
              <w:spacing w:after="0"/>
              <w:rPr>
                <w:sz w:val="24"/>
                <w:szCs w:val="24"/>
                <w:color w:val="auto"/>
              </w:rPr>
            </w:pPr>
          </w:p>
        </w:tc>
      </w:tr>
      <w:tr>
        <w:trPr>
          <w:trHeight w:val="614"/>
        </w:trPr>
        <w:tc>
          <w:tcPr>
            <w:tcW w:w="200" w:type="dxa"/>
            <w:vAlign w:val="bottom"/>
          </w:tcPr>
          <w:p>
            <w:pPr>
              <w:spacing w:after="0"/>
              <w:rPr>
                <w:sz w:val="20"/>
                <w:szCs w:val="20"/>
                <w:color w:val="auto"/>
              </w:rPr>
            </w:pPr>
            <w:r>
              <w:rPr>
                <w:rFonts w:ascii="Calibri" w:cs="Calibri" w:eastAsia="Calibri" w:hAnsi="Calibri"/>
                <w:sz w:val="18"/>
                <w:szCs w:val="18"/>
                <w:color w:val="auto"/>
              </w:rPr>
              <w:t>1</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Interpretaton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2</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Facility</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26</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3  Positon of the Lenders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4</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Drawdown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5</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Interest</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29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6</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Interest Periods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7</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Default Interest</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32</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8</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Repayment and Prepayment</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rPr>
              <w:t>9</w:t>
            </w:r>
          </w:p>
        </w:tc>
        <w:tc>
          <w:tcPr>
            <w:tcW w:w="4400" w:type="dxa"/>
            <w:vAlign w:val="bottom"/>
          </w:tcPr>
          <w:p>
            <w:pPr>
              <w:ind w:left="20"/>
              <w:spacing w:after="0"/>
              <w:rPr>
                <w:sz w:val="20"/>
                <w:szCs w:val="20"/>
                <w:color w:val="auto"/>
              </w:rPr>
            </w:pPr>
            <w:r>
              <w:rPr>
                <w:rFonts w:ascii="Calibri" w:cs="Calibri" w:eastAsia="Calibri" w:hAnsi="Calibri"/>
                <w:sz w:val="18"/>
                <w:szCs w:val="18"/>
                <w:color w:val="auto"/>
              </w:rPr>
              <w:t>Conditons Precedent</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36</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10</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Representatons and Warrantes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11</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General Undertakings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12</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Corporate Undertakings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49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13</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Insurance</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51</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14</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Ship Covenants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59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15</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Security Cover</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65</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16</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Payments and Calculatons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67</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17</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Applicaton of Receipts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69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18</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Applicaton of Earnings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71</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19</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Events of Default</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73</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20</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Fees and Expenses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78</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21</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Indemnites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80</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22</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No Set-Of or Tax Deducton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83</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23</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Illegality, etc.</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86</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24</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Increased Costs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86</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25</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Set-Of</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26</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Transfers and Changes in Lending Ofces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89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27</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Variatons and Waivers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94</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28</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Notces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97</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29</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Bail-In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99</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30</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Confdental Informaton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100</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31</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Supplemental</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103</w:t>
            </w:r>
          </w:p>
        </w:tc>
      </w:tr>
      <w:tr>
        <w:trPr>
          <w:trHeight w:val="225"/>
        </w:trPr>
        <w:tc>
          <w:tcPr>
            <w:tcW w:w="200" w:type="dxa"/>
            <w:vAlign w:val="bottom"/>
          </w:tcPr>
          <w:p>
            <w:pPr>
              <w:spacing w:after="0"/>
              <w:rPr>
                <w:sz w:val="20"/>
                <w:szCs w:val="20"/>
                <w:color w:val="auto"/>
              </w:rPr>
            </w:pPr>
            <w:r>
              <w:rPr>
                <w:rFonts w:ascii="Calibri" w:cs="Calibri" w:eastAsia="Calibri" w:hAnsi="Calibri"/>
                <w:sz w:val="18"/>
                <w:szCs w:val="18"/>
                <w:color w:val="auto"/>
                <w:w w:val="98"/>
              </w:rPr>
              <w:t>32</w:t>
            </w:r>
          </w:p>
        </w:tc>
        <w:tc>
          <w:tcPr>
            <w:tcW w:w="4400" w:type="dxa"/>
            <w:vAlign w:val="bottom"/>
          </w:tcPr>
          <w:p>
            <w:pPr>
              <w:ind w:left="120"/>
              <w:spacing w:after="0"/>
              <w:rPr>
                <w:sz w:val="20"/>
                <w:szCs w:val="20"/>
                <w:color w:val="auto"/>
              </w:rPr>
            </w:pPr>
            <w:r>
              <w:rPr>
                <w:rFonts w:ascii="Calibri" w:cs="Calibri" w:eastAsia="Calibri" w:hAnsi="Calibri"/>
                <w:sz w:val="18"/>
                <w:szCs w:val="18"/>
                <w:color w:val="auto"/>
              </w:rPr>
              <w:t>Law and Jurisdicton</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104</w:t>
            </w:r>
          </w:p>
        </w:tc>
      </w:tr>
      <w:tr>
        <w:trPr>
          <w:trHeight w:val="413"/>
        </w:trPr>
        <w:tc>
          <w:tcPr>
            <w:tcW w:w="4600" w:type="dxa"/>
            <w:vAlign w:val="bottom"/>
            <w:gridSpan w:val="2"/>
          </w:tcPr>
          <w:p>
            <w:pPr>
              <w:spacing w:after="0"/>
              <w:rPr>
                <w:sz w:val="20"/>
                <w:szCs w:val="20"/>
                <w:color w:val="auto"/>
              </w:rPr>
            </w:pPr>
            <w:r>
              <w:rPr>
                <w:rFonts w:ascii="Calibri" w:cs="Calibri" w:eastAsia="Calibri" w:hAnsi="Calibri"/>
                <w:sz w:val="18"/>
                <w:szCs w:val="18"/>
                <w:b w:val="1"/>
                <w:bCs w:val="1"/>
                <w:color w:val="auto"/>
              </w:rPr>
              <w:t>Schedules</w:t>
            </w:r>
          </w:p>
        </w:tc>
        <w:tc>
          <w:tcPr>
            <w:tcW w:w="6640" w:type="dxa"/>
            <w:vAlign w:val="bottom"/>
          </w:tcPr>
          <w:p>
            <w:pPr>
              <w:spacing w:after="0"/>
              <w:rPr>
                <w:sz w:val="24"/>
                <w:szCs w:val="24"/>
                <w:color w:val="auto"/>
              </w:rPr>
            </w:pPr>
          </w:p>
        </w:tc>
      </w:tr>
      <w:tr>
        <w:trPr>
          <w:trHeight w:val="413"/>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1</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106</w:t>
            </w:r>
          </w:p>
        </w:tc>
      </w:tr>
      <w:tr>
        <w:trPr>
          <w:trHeight w:val="225"/>
        </w:trPr>
        <w:tc>
          <w:tcPr>
            <w:tcW w:w="20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Calibri" w:cs="Calibri" w:eastAsia="Calibri" w:hAnsi="Calibri"/>
                <w:sz w:val="18"/>
                <w:szCs w:val="18"/>
                <w:color w:val="auto"/>
              </w:rPr>
              <w:t>Part A Lenders and Original Commitments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106</w:t>
            </w:r>
          </w:p>
        </w:tc>
      </w:tr>
      <w:tr>
        <w:trPr>
          <w:trHeight w:val="225"/>
        </w:trPr>
        <w:tc>
          <w:tcPr>
            <w:tcW w:w="20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Calibri" w:cs="Calibri" w:eastAsia="Calibri" w:hAnsi="Calibri"/>
                <w:sz w:val="18"/>
                <w:szCs w:val="18"/>
                <w:color w:val="auto"/>
              </w:rPr>
              <w:t>Part B Lenders and Contributons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107</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2 Drawdown Notce</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108</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3 Conditon Precedent Documents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109</w:t>
            </w:r>
          </w:p>
        </w:tc>
      </w:tr>
      <w:tr>
        <w:trPr>
          <w:trHeight w:val="225"/>
        </w:trPr>
        <w:tc>
          <w:tcPr>
            <w:tcW w:w="20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Calibri" w:cs="Calibri" w:eastAsia="Calibri" w:hAnsi="Calibri"/>
                <w:sz w:val="18"/>
                <w:szCs w:val="18"/>
                <w:color w:val="auto"/>
              </w:rPr>
              <w:t>Part A</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109</w:t>
            </w:r>
          </w:p>
        </w:tc>
      </w:tr>
      <w:tr>
        <w:trPr>
          <w:trHeight w:val="225"/>
        </w:trPr>
        <w:tc>
          <w:tcPr>
            <w:tcW w:w="20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Calibri" w:cs="Calibri" w:eastAsia="Calibri" w:hAnsi="Calibri"/>
                <w:sz w:val="18"/>
                <w:szCs w:val="18"/>
                <w:color w:val="auto"/>
              </w:rPr>
              <w:t>Part B</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111</w:t>
            </w:r>
          </w:p>
        </w:tc>
      </w:tr>
      <w:tr>
        <w:trPr>
          <w:trHeight w:val="225"/>
        </w:trPr>
        <w:tc>
          <w:tcPr>
            <w:tcW w:w="20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Calibri" w:cs="Calibri" w:eastAsia="Calibri" w:hAnsi="Calibri"/>
                <w:sz w:val="18"/>
                <w:szCs w:val="18"/>
                <w:color w:val="auto"/>
              </w:rPr>
              <w:t>Part C</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113</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4 Transfer Certfcate</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114</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5 Power of Atorney</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118</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6 Form of Compliance Certfcate</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119</w:t>
            </w:r>
          </w:p>
        </w:tc>
      </w:tr>
      <w:tr>
        <w:trPr>
          <w:trHeight w:val="225"/>
        </w:trPr>
        <w:tc>
          <w:tcPr>
            <w:tcW w:w="4600" w:type="dxa"/>
            <w:vAlign w:val="bottom"/>
            <w:gridSpan w:val="2"/>
          </w:tcPr>
          <w:p>
            <w:pPr>
              <w:spacing w:after="0"/>
              <w:rPr>
                <w:sz w:val="20"/>
                <w:szCs w:val="20"/>
                <w:color w:val="auto"/>
              </w:rPr>
            </w:pPr>
            <w:r>
              <w:rPr>
                <w:rFonts w:ascii="Calibri" w:cs="Calibri" w:eastAsia="Calibri" w:hAnsi="Calibri"/>
                <w:sz w:val="18"/>
                <w:szCs w:val="18"/>
                <w:color w:val="auto"/>
              </w:rPr>
              <w:t>Schedule 7 Reference Rate Terms</w:t>
            </w:r>
          </w:p>
        </w:tc>
        <w:tc>
          <w:tcPr>
            <w:tcW w:w="6640" w:type="dxa"/>
            <w:vAlign w:val="bottom"/>
          </w:tcPr>
          <w:p>
            <w:pPr>
              <w:jc w:val="right"/>
              <w:spacing w:after="0"/>
              <w:rPr>
                <w:sz w:val="20"/>
                <w:szCs w:val="20"/>
                <w:color w:val="auto"/>
              </w:rPr>
            </w:pPr>
            <w:r>
              <w:rPr>
                <w:rFonts w:ascii="Calibri" w:cs="Calibri" w:eastAsia="Calibri" w:hAnsi="Calibri"/>
                <w:sz w:val="18"/>
                <w:szCs w:val="18"/>
                <w:color w:val="auto"/>
              </w:rPr>
              <w:t>121</w:t>
            </w:r>
          </w:p>
        </w:tc>
      </w:tr>
    </w:tbl>
    <w:p>
      <w:pPr>
        <w:sectPr>
          <w:pgSz w:w="11900" w:h="16838" w:orient="portrait"/>
          <w:cols w:equalWidth="0" w:num="1">
            <w:col w:w="11240"/>
          </w:cols>
          <w:pgMar w:left="320" w:top="427"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40" w:type="dxa"/>
            <w:vAlign w:val="bottom"/>
          </w:tcPr>
          <w:p>
            <w:pPr>
              <w:spacing w:after="0"/>
              <w:rPr>
                <w:sz w:val="20"/>
                <w:szCs w:val="20"/>
                <w:color w:val="auto"/>
              </w:rPr>
            </w:pPr>
            <w:r>
              <w:rPr>
                <w:rFonts w:ascii="Calibri" w:cs="Calibri" w:eastAsia="Calibri" w:hAnsi="Calibri"/>
                <w:sz w:val="18"/>
                <w:szCs w:val="18"/>
                <w:color w:val="auto"/>
              </w:rPr>
              <w:t>Schedule 8 Daily Non-Cumulatve Compounded RFR Rate</w:t>
            </w:r>
          </w:p>
        </w:tc>
        <w:tc>
          <w:tcPr>
            <w:tcW w:w="3600" w:type="dxa"/>
            <w:vAlign w:val="bottom"/>
          </w:tcPr>
          <w:p>
            <w:pPr>
              <w:jc w:val="right"/>
              <w:spacing w:after="0"/>
              <w:rPr>
                <w:sz w:val="20"/>
                <w:szCs w:val="20"/>
                <w:color w:val="auto"/>
              </w:rPr>
            </w:pPr>
            <w:r>
              <w:rPr>
                <w:rFonts w:ascii="Calibri" w:cs="Calibri" w:eastAsia="Calibri" w:hAnsi="Calibri"/>
                <w:sz w:val="18"/>
                <w:szCs w:val="18"/>
                <w:color w:val="auto"/>
              </w:rPr>
              <w:t>123</w:t>
            </w:r>
          </w:p>
        </w:tc>
      </w:tr>
      <w:tr>
        <w:trPr>
          <w:trHeight w:val="225"/>
        </w:trPr>
        <w:tc>
          <w:tcPr>
            <w:tcW w:w="7640" w:type="dxa"/>
            <w:vAlign w:val="bottom"/>
          </w:tcPr>
          <w:p>
            <w:pPr>
              <w:spacing w:after="0"/>
              <w:rPr>
                <w:sz w:val="20"/>
                <w:szCs w:val="20"/>
                <w:color w:val="auto"/>
              </w:rPr>
            </w:pPr>
            <w:r>
              <w:rPr>
                <w:rFonts w:ascii="Calibri" w:cs="Calibri" w:eastAsia="Calibri" w:hAnsi="Calibri"/>
                <w:sz w:val="18"/>
                <w:szCs w:val="18"/>
                <w:color w:val="auto"/>
              </w:rPr>
              <w:t>Schedule 9 Cumulatve Compounded RFR Rate</w:t>
            </w:r>
          </w:p>
        </w:tc>
        <w:tc>
          <w:tcPr>
            <w:tcW w:w="3600" w:type="dxa"/>
            <w:vAlign w:val="bottom"/>
          </w:tcPr>
          <w:p>
            <w:pPr>
              <w:jc w:val="right"/>
              <w:spacing w:after="0"/>
              <w:rPr>
                <w:sz w:val="20"/>
                <w:szCs w:val="20"/>
                <w:color w:val="auto"/>
              </w:rPr>
            </w:pPr>
            <w:r>
              <w:rPr>
                <w:rFonts w:ascii="Calibri" w:cs="Calibri" w:eastAsia="Calibri" w:hAnsi="Calibri"/>
                <w:sz w:val="18"/>
                <w:szCs w:val="18"/>
                <w:color w:val="auto"/>
              </w:rPr>
              <w:t>125</w:t>
            </w:r>
          </w:p>
        </w:tc>
      </w:tr>
      <w:tr>
        <w:trPr>
          <w:trHeight w:val="413"/>
        </w:trPr>
        <w:tc>
          <w:tcPr>
            <w:tcW w:w="7640" w:type="dxa"/>
            <w:vAlign w:val="bottom"/>
          </w:tcPr>
          <w:p>
            <w:pPr>
              <w:spacing w:after="0"/>
              <w:rPr>
                <w:sz w:val="20"/>
                <w:szCs w:val="20"/>
                <w:color w:val="auto"/>
              </w:rPr>
            </w:pPr>
            <w:r>
              <w:rPr>
                <w:rFonts w:ascii="Calibri" w:cs="Calibri" w:eastAsia="Calibri" w:hAnsi="Calibri"/>
                <w:sz w:val="18"/>
                <w:szCs w:val="18"/>
                <w:b w:val="1"/>
                <w:bCs w:val="1"/>
                <w:color w:val="auto"/>
              </w:rPr>
              <w:t>Executon</w:t>
            </w:r>
          </w:p>
        </w:tc>
        <w:tc>
          <w:tcPr>
            <w:tcW w:w="3600" w:type="dxa"/>
            <w:vAlign w:val="bottom"/>
          </w:tcPr>
          <w:p>
            <w:pPr>
              <w:spacing w:after="0"/>
              <w:rPr>
                <w:sz w:val="24"/>
                <w:szCs w:val="24"/>
                <w:color w:val="auto"/>
              </w:rPr>
            </w:pPr>
          </w:p>
        </w:tc>
      </w:tr>
      <w:tr>
        <w:trPr>
          <w:trHeight w:val="413"/>
        </w:trPr>
        <w:tc>
          <w:tcPr>
            <w:tcW w:w="7640" w:type="dxa"/>
            <w:vAlign w:val="bottom"/>
          </w:tcPr>
          <w:p>
            <w:pPr>
              <w:spacing w:after="0"/>
              <w:rPr>
                <w:sz w:val="20"/>
                <w:szCs w:val="20"/>
                <w:color w:val="auto"/>
              </w:rPr>
            </w:pPr>
            <w:r>
              <w:rPr>
                <w:rFonts w:ascii="Calibri" w:cs="Calibri" w:eastAsia="Calibri" w:hAnsi="Calibri"/>
                <w:sz w:val="18"/>
                <w:szCs w:val="18"/>
                <w:color w:val="auto"/>
              </w:rPr>
              <w:t>Executon Pages</w:t>
            </w:r>
          </w:p>
        </w:tc>
        <w:tc>
          <w:tcPr>
            <w:tcW w:w="3600" w:type="dxa"/>
            <w:vAlign w:val="bottom"/>
          </w:tcPr>
          <w:p>
            <w:pPr>
              <w:jc w:val="right"/>
              <w:spacing w:after="0"/>
              <w:rPr>
                <w:sz w:val="20"/>
                <w:szCs w:val="20"/>
                <w:color w:val="auto"/>
              </w:rPr>
            </w:pPr>
            <w:r>
              <w:rPr>
                <w:rFonts w:ascii="Calibri" w:cs="Calibri" w:eastAsia="Calibri" w:hAnsi="Calibri"/>
                <w:sz w:val="18"/>
                <w:szCs w:val="18"/>
                <w:color w:val="auto"/>
              </w:rPr>
              <w:t>126</w:t>
            </w:r>
          </w:p>
        </w:tc>
      </w:tr>
    </w:tbl>
    <w:p>
      <w:pPr>
        <w:sectPr>
          <w:pgSz w:w="11900" w:h="16838" w:orient="portrait"/>
          <w:cols w:equalWidth="0" w:num="1">
            <w:col w:w="11240"/>
          </w:cols>
          <w:pgMar w:left="320" w:top="440"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18"/>
          <w:szCs w:val="18"/>
          <w:b w:val="1"/>
          <w:bCs w:val="1"/>
          <w:color w:val="auto"/>
        </w:rPr>
        <w:t xml:space="preserve">THIS AGREEMENT </w:t>
      </w:r>
      <w:r>
        <w:rPr>
          <w:rFonts w:ascii="Calibri" w:cs="Calibri" w:eastAsia="Calibri" w:hAnsi="Calibri"/>
          <w:sz w:val="18"/>
          <w:szCs w:val="18"/>
          <w:color w:val="auto"/>
        </w:rPr>
        <w:t>is made on ___ October 2022</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PARTIES</w:t>
      </w:r>
    </w:p>
    <w:p>
      <w:pPr>
        <w:spacing w:after="0" w:line="183" w:lineRule="exact"/>
        <w:rPr>
          <w:sz w:val="20"/>
          <w:szCs w:val="20"/>
          <w:color w:val="auto"/>
        </w:rPr>
      </w:pPr>
    </w:p>
    <w:p>
      <w:pPr>
        <w:ind w:left="580" w:hanging="580"/>
        <w:spacing w:after="0" w:line="228" w:lineRule="auto"/>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CAPITAL PRODUCT PARTNERS L.P.</w:t>
      </w:r>
      <w:r>
        <w:rPr>
          <w:rFonts w:ascii="Calibri" w:cs="Calibri" w:eastAsia="Calibri" w:hAnsi="Calibri"/>
          <w:sz w:val="18"/>
          <w:szCs w:val="18"/>
          <w:color w:val="auto"/>
        </w:rPr>
        <w:t>, a limited partnership formed in the Republic of the Marshall Islands whose registered address is at Trust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Complex, Ajeltake Road, Ajeltake Island, Majuro MH96960, the Marshall Islands as "</w:t>
      </w:r>
      <w:r>
        <w:rPr>
          <w:rFonts w:ascii="Calibri" w:cs="Calibri" w:eastAsia="Calibri" w:hAnsi="Calibri"/>
          <w:sz w:val="18"/>
          <w:szCs w:val="18"/>
          <w:b w:val="1"/>
          <w:bCs w:val="1"/>
          <w:color w:val="auto"/>
        </w:rPr>
        <w:t>Borrower</w:t>
      </w:r>
      <w:r>
        <w:rPr>
          <w:rFonts w:ascii="Calibri" w:cs="Calibri" w:eastAsia="Calibri" w:hAnsi="Calibri"/>
          <w:sz w:val="18"/>
          <w:szCs w:val="18"/>
          <w:color w:val="auto"/>
        </w:rPr>
        <w: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THE BANKS AND FINANCIAL INSTITUTIONS </w:t>
      </w:r>
      <w:r>
        <w:rPr>
          <w:rFonts w:ascii="Calibri" w:cs="Calibri" w:eastAsia="Calibri" w:hAnsi="Calibri"/>
          <w:sz w:val="18"/>
          <w:szCs w:val="18"/>
          <w:color w:val="auto"/>
        </w:rPr>
        <w:t>listed in Part A of Schedule 1, as "</w:t>
      </w:r>
      <w:r>
        <w:rPr>
          <w:rFonts w:ascii="Calibri" w:cs="Calibri" w:eastAsia="Calibri" w:hAnsi="Calibri"/>
          <w:sz w:val="18"/>
          <w:szCs w:val="18"/>
          <w:b w:val="1"/>
          <w:bCs w:val="1"/>
          <w:color w:val="auto"/>
        </w:rPr>
        <w:t>Lenders</w:t>
      </w:r>
      <w:r>
        <w:rPr>
          <w:rFonts w:ascii="Calibri" w:cs="Calibri" w:eastAsia="Calibri" w:hAnsi="Calibri"/>
          <w:sz w:val="18"/>
          <w:szCs w:val="18"/>
          <w:color w:val="auto"/>
        </w:rPr>
        <w: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actng through its ofce is at Gerhart-Hauptmann-Platz 50, D-20095 Hamburg, Germany, as "</w:t>
      </w:r>
      <w:r>
        <w:rPr>
          <w:rFonts w:ascii="Calibri" w:cs="Calibri" w:eastAsia="Calibri" w:hAnsi="Calibri"/>
          <w:sz w:val="18"/>
          <w:szCs w:val="18"/>
          <w:b w:val="1"/>
          <w:bCs w:val="1"/>
          <w:color w:val="auto"/>
        </w:rPr>
        <w:t>Agent</w:t>
      </w:r>
      <w:r>
        <w:rPr>
          <w:rFonts w:ascii="Calibri" w:cs="Calibri" w:eastAsia="Calibri" w:hAnsi="Calibri"/>
          <w:sz w:val="18"/>
          <w:szCs w:val="18"/>
          <w:color w:val="auto"/>
        </w:rPr>
        <w: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actng through its ofce is at Gerhart-Hauptmann-Platz 50, D-20095 Hamburg, Germany,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t>
      </w:r>
      <w:r>
        <w:rPr>
          <w:rFonts w:ascii="Calibri" w:cs="Calibri" w:eastAsia="Calibri" w:hAnsi="Calibri"/>
          <w:sz w:val="18"/>
          <w:szCs w:val="18"/>
          <w:b w:val="1"/>
          <w:bCs w:val="1"/>
          <w:color w:val="auto"/>
        </w:rPr>
        <w:t>Mandated Lead Arranger</w:t>
      </w:r>
      <w:r>
        <w:rPr>
          <w:rFonts w:ascii="Calibri" w:cs="Calibri" w:eastAsia="Calibri" w:hAnsi="Calibri"/>
          <w:sz w:val="18"/>
          <w:szCs w:val="18"/>
          <w:color w:val="auto"/>
        </w:rPr>
        <w:t>"</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actng through its ofce is at Gerhart-Hauptmann-Platz 50, D-20095 Hamburg, Germany,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t>
      </w:r>
      <w:r>
        <w:rPr>
          <w:rFonts w:ascii="Calibri" w:cs="Calibri" w:eastAsia="Calibri" w:hAnsi="Calibri"/>
          <w:sz w:val="18"/>
          <w:szCs w:val="18"/>
          <w:b w:val="1"/>
          <w:bCs w:val="1"/>
          <w:color w:val="auto"/>
        </w:rPr>
        <w:t>Bookrunner</w:t>
      </w:r>
      <w:r>
        <w:rPr>
          <w:rFonts w:ascii="Calibri" w:cs="Calibri" w:eastAsia="Calibri" w:hAnsi="Calibri"/>
          <w:sz w:val="18"/>
          <w:szCs w:val="18"/>
          <w:color w:val="auto"/>
        </w:rPr>
        <w:t>"</w:t>
      </w:r>
    </w:p>
    <w:p>
      <w:pPr>
        <w:spacing w:after="0" w:line="381" w:lineRule="exact"/>
        <w:rPr>
          <w:rFonts w:ascii="Calibri" w:cs="Calibri" w:eastAsia="Calibri" w:hAnsi="Calibri"/>
          <w:sz w:val="18"/>
          <w:szCs w:val="18"/>
          <w:color w:val="auto"/>
        </w:rPr>
      </w:pPr>
    </w:p>
    <w:p>
      <w:pPr>
        <w:ind w:left="580" w:hanging="580"/>
        <w:spacing w:after="0"/>
        <w:tabs>
          <w:tab w:leader="none" w:pos="58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actng through its ofce is at Gerhart-Hauptmann-Platz 50, D-20095 Hamburg, Germany, as "</w:t>
      </w:r>
      <w:r>
        <w:rPr>
          <w:rFonts w:ascii="Calibri" w:cs="Calibri" w:eastAsia="Calibri" w:hAnsi="Calibri"/>
          <w:sz w:val="18"/>
          <w:szCs w:val="18"/>
          <w:b w:val="1"/>
          <w:bCs w:val="1"/>
          <w:color w:val="auto"/>
        </w:rPr>
        <w:t>Security Trustee</w:t>
      </w:r>
      <w:r>
        <w:rPr>
          <w:rFonts w:ascii="Calibri" w:cs="Calibri" w:eastAsia="Calibri" w:hAnsi="Calibri"/>
          <w:sz w:val="18"/>
          <w:szCs w:val="18"/>
          <w:color w:val="auto"/>
        </w:rPr>
        <w:t>"</w:t>
      </w:r>
    </w:p>
    <w:p>
      <w:pPr>
        <w:spacing w:after="0" w:line="3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BACKGROUND</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The Lenders have agreed to make available to the Borrower a senior secured post-delivery term loan facility, in a single advance, in an amount of up to the lesser of:</w:t>
      </w:r>
    </w:p>
    <w:p>
      <w:pPr>
        <w:spacing w:after="0" w:line="182" w:lineRule="exact"/>
        <w:rPr>
          <w:sz w:val="20"/>
          <w:szCs w:val="20"/>
          <w:color w:val="auto"/>
        </w:rPr>
      </w:pPr>
    </w:p>
    <w:p>
      <w:pPr>
        <w:ind w:left="580" w:hanging="580"/>
        <w:spacing w:after="0"/>
        <w:tabs>
          <w:tab w:leader="none" w:pos="580" w:val="left"/>
        </w:tabs>
        <w:numPr>
          <w:ilvl w:val="0"/>
          <w:numId w:val="161"/>
        </w:numPr>
        <w:rPr>
          <w:rFonts w:ascii="Calibri" w:cs="Calibri" w:eastAsia="Calibri" w:hAnsi="Calibri"/>
          <w:sz w:val="18"/>
          <w:szCs w:val="18"/>
          <w:color w:val="auto"/>
        </w:rPr>
      </w:pPr>
      <w:r>
        <w:rPr>
          <w:rFonts w:ascii="Calibri" w:cs="Calibri" w:eastAsia="Calibri" w:hAnsi="Calibri"/>
          <w:sz w:val="18"/>
          <w:szCs w:val="18"/>
          <w:color w:val="auto"/>
        </w:rPr>
        <w:t>$105,000,000;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161"/>
        </w:numPr>
        <w:rPr>
          <w:rFonts w:ascii="Calibri" w:cs="Calibri" w:eastAsia="Calibri" w:hAnsi="Calibri"/>
          <w:sz w:val="18"/>
          <w:szCs w:val="18"/>
          <w:color w:val="auto"/>
        </w:rPr>
      </w:pPr>
      <w:r>
        <w:rPr>
          <w:rFonts w:ascii="Calibri" w:cs="Calibri" w:eastAsia="Calibri" w:hAnsi="Calibri"/>
          <w:sz w:val="18"/>
          <w:szCs w:val="18"/>
          <w:color w:val="auto"/>
        </w:rPr>
        <w:t>60 per cent. of the Inital Market Value of the Ship,</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purpose of partly fnancing, on post-delivery terms, the Market Value of the Ship.</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OPERATIVE PROVISIONS</w:t>
      </w:r>
    </w:p>
    <w:p>
      <w:pPr>
        <w:spacing w:after="0" w:line="182" w:lineRule="exact"/>
        <w:rPr>
          <w:sz w:val="20"/>
          <w:szCs w:val="20"/>
          <w:color w:val="auto"/>
        </w:rPr>
      </w:pPr>
    </w:p>
    <w:p>
      <w:pPr>
        <w:jc w:val="both"/>
        <w:ind w:left="5580"/>
        <w:spacing w:after="0"/>
        <w:tabs>
          <w:tab w:leader="none" w:pos="992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44" w:name="page145"/>
    <w:bookmarkEnd w:id="144"/>
    <w:p>
      <w:pPr>
        <w:ind w:left="580" w:hanging="580"/>
        <w:spacing w:after="0"/>
        <w:tabs>
          <w:tab w:leader="none" w:pos="580" w:val="left"/>
        </w:tabs>
        <w:numPr>
          <w:ilvl w:val="0"/>
          <w:numId w:val="16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INTERPRETATION</w:t>
      </w:r>
    </w:p>
    <w:p>
      <w:pPr>
        <w:spacing w:after="0" w:line="181" w:lineRule="exact"/>
        <w:rPr>
          <w:rFonts w:ascii="Calibri" w:cs="Calibri" w:eastAsia="Calibri" w:hAnsi="Calibri"/>
          <w:sz w:val="18"/>
          <w:szCs w:val="18"/>
          <w:b w:val="1"/>
          <w:bCs w:val="1"/>
          <w:color w:val="auto"/>
        </w:rPr>
      </w:pPr>
    </w:p>
    <w:p>
      <w:pPr>
        <w:spacing w:after="0"/>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1.1Defnitons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 1.5, in this Agreement: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Account</w:t>
      </w:r>
      <w:r>
        <w:rPr>
          <w:rFonts w:ascii="Calibri" w:cs="Calibri" w:eastAsia="Calibri" w:hAnsi="Calibri"/>
          <w:sz w:val="18"/>
          <w:szCs w:val="18"/>
          <w:color w:val="auto"/>
        </w:rPr>
        <w:t>" means each of the Earnings Account and the Retenton Account and, in the plural, means all of them.</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Account Pledge</w:t>
      </w:r>
      <w:r>
        <w:rPr>
          <w:rFonts w:ascii="Calibri" w:cs="Calibri" w:eastAsia="Calibri" w:hAnsi="Calibri"/>
          <w:sz w:val="18"/>
          <w:szCs w:val="18"/>
          <w:color w:val="auto"/>
        </w:rPr>
        <w:t>" means, in relaton to each Account, a pledge agreement creatng security in respect of that Account in the Agreed Form and, in the plural, means all of them.</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Accountng Informaton</w:t>
      </w:r>
      <w:r>
        <w:rPr>
          <w:rFonts w:ascii="Calibri" w:cs="Calibri" w:eastAsia="Calibri" w:hAnsi="Calibri"/>
          <w:sz w:val="18"/>
          <w:szCs w:val="18"/>
          <w:color w:val="auto"/>
        </w:rPr>
        <w:t>" means the annual audited consolidated fnancial statements or, as the case may be, the quarterly unaudited consolidated fnancial statements, each in respect of the Borrower and the Group, to be provided by the Borrower to the Agent in accordance with Clause 11.6.</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Agency and Trust Deed</w:t>
      </w:r>
      <w:r>
        <w:rPr>
          <w:rFonts w:ascii="Calibri" w:cs="Calibri" w:eastAsia="Calibri" w:hAnsi="Calibri"/>
          <w:sz w:val="18"/>
          <w:szCs w:val="18"/>
          <w:color w:val="auto"/>
        </w:rPr>
        <w:t>" means the agency and trust deed executed or to be executed between the Borrower and the Creditor Partes in the Agreed Form.</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Agent</w:t>
      </w:r>
      <w:r>
        <w:rPr>
          <w:rFonts w:ascii="Calibri" w:cs="Calibri" w:eastAsia="Calibri" w:hAnsi="Calibri"/>
          <w:sz w:val="18"/>
          <w:szCs w:val="18"/>
          <w:color w:val="auto"/>
        </w:rPr>
        <w:t>" means Hamburg Commercial Bank AG, actng in such capacity through its ofce at Gerhart-Hauptmann-Platz 50, D-20095 Hamburg, Germany, or any successor of it appointed under clause 5 of the Agency and Trust Deed.</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Agreed Form</w:t>
      </w:r>
      <w:r>
        <w:rPr>
          <w:rFonts w:ascii="Calibri" w:cs="Calibri" w:eastAsia="Calibri" w:hAnsi="Calibri"/>
          <w:sz w:val="18"/>
          <w:szCs w:val="18"/>
          <w:color w:val="auto"/>
        </w:rPr>
        <w:t>" means in relaton to any document, that document in the form approved in writng by the Agent (actng on the instructons of all the Lenders) or as otherwise approved in accordance with any other approval procedure specifed in any relevant provisions of any Finance Document.</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Annex VI</w:t>
      </w:r>
      <w:r>
        <w:rPr>
          <w:rFonts w:ascii="Calibri" w:cs="Calibri" w:eastAsia="Calibri" w:hAnsi="Calibri"/>
          <w:sz w:val="18"/>
          <w:szCs w:val="18"/>
          <w:color w:val="auto"/>
        </w:rPr>
        <w:t>" means Annex VI of the Protocol of 1997 to amend the Internatonal Conventon for the Preventon of Polluton from Ships 1973 (Marpol), as modifed by the Protocol of 1978 relatng thereto;</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Broker</w:t>
      </w:r>
      <w:r>
        <w:rPr>
          <w:rFonts w:ascii="Calibri" w:cs="Calibri" w:eastAsia="Calibri" w:hAnsi="Calibri"/>
          <w:sz w:val="18"/>
          <w:szCs w:val="18"/>
          <w:color w:val="auto"/>
        </w:rPr>
        <w:t>" means each of Arrow Valuatons Ltd, Barry Rogliano Salles, H. Clarkson &amp; Co. Ltd., Maersk Brokers K/S, Howe Robinson Partners, Fearnleys AS and Simpson, Spence and Young (or any afliate of such person through which valuatons are commonly issued) and, in plural, means all of them.</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Charter</w:t>
      </w:r>
      <w:r>
        <w:rPr>
          <w:rFonts w:ascii="Calibri" w:cs="Calibri" w:eastAsia="Calibri" w:hAnsi="Calibri"/>
          <w:sz w:val="18"/>
          <w:szCs w:val="18"/>
          <w:color w:val="auto"/>
        </w:rPr>
        <w:t>" means a tme charter evidenced by a recapitulaton email dated 7 June 2021 and made between the Owner as owner and Hapag Lloyd AG as charterer expiring, subject to the terms thereof, for a period of minimum 120 months plus or minus 90 days and providing for a gross hire rate of not less than $39,000.</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Classifcaton Society</w:t>
      </w:r>
      <w:r>
        <w:rPr>
          <w:rFonts w:ascii="Calibri" w:cs="Calibri" w:eastAsia="Calibri" w:hAnsi="Calibri"/>
          <w:sz w:val="18"/>
          <w:szCs w:val="18"/>
          <w:color w:val="auto"/>
        </w:rPr>
        <w:t>" means a frst class classifcaton society acceptable to the Agent in the highest classifcaton ratng available, being one of Lloyd's Registry, American Bureau of Shipping (ABS), Det Norske Veritas (DNV), Bureau Veritas (BV), Korean Registry of Shipping, Nippon Kaiji Kyoykai or Registro Italiano Navale, which as at the date of this Agreement is ABS.</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Flag</w:t>
      </w:r>
      <w:r>
        <w:rPr>
          <w:rFonts w:ascii="Calibri" w:cs="Calibri" w:eastAsia="Calibri" w:hAnsi="Calibri"/>
          <w:sz w:val="18"/>
          <w:szCs w:val="18"/>
          <w:color w:val="auto"/>
        </w:rPr>
        <w:t>" means the Liberian, the Marshall Islands, the Maltese, the Panamanian, the Greek or the Isle of Man fag or such other fag as the Agent may approve (such approval not to be unreasonably withheld or delayed) as the fag on which the Ship is or, as the case may be, shall be registered, which as at the date of this Agreement is the Liberian fag.</w:t>
      </w:r>
    </w:p>
    <w:p>
      <w:pPr>
        <w:spacing w:after="0" w:line="183" w:lineRule="exact"/>
        <w:rPr>
          <w:sz w:val="20"/>
          <w:szCs w:val="20"/>
          <w:color w:val="auto"/>
        </w:rPr>
      </w:pPr>
    </w:p>
    <w:p>
      <w:pPr>
        <w:jc w:val="both"/>
        <w:ind w:left="5580"/>
        <w:spacing w:after="0"/>
        <w:tabs>
          <w:tab w:leader="none" w:pos="992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53" w:right="339" w:bottom="1440" w:gutter="0" w:footer="0" w:header="0"/>
        </w:sectPr>
      </w:pPr>
    </w:p>
    <w:bookmarkStart w:id="145" w:name="page146"/>
    <w:bookmarkEnd w:id="145"/>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Flag State</w:t>
      </w:r>
      <w:r>
        <w:rPr>
          <w:rFonts w:ascii="Calibri" w:cs="Calibri" w:eastAsia="Calibri" w:hAnsi="Calibri"/>
          <w:sz w:val="18"/>
          <w:szCs w:val="18"/>
          <w:color w:val="auto"/>
        </w:rPr>
        <w:t>" means the Republic of Liberia, the Republic of the Marshall Islands, the Republic of Malta, the Republic of Panama, Greece, the Isle of Man or any other country in which the Agent may approve (such approval not to be unreasonably withheld or delayed) that the Ship is or, as the case may be, shall be registered.</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Manager</w:t>
      </w:r>
      <w:r>
        <w:rPr>
          <w:rFonts w:ascii="Calibri" w:cs="Calibri" w:eastAsia="Calibri" w:hAnsi="Calibri"/>
          <w:sz w:val="18"/>
          <w:szCs w:val="18"/>
          <w:color w:val="auto"/>
        </w:rPr>
        <w:t>" means:</w:t>
      </w:r>
    </w:p>
    <w:p>
      <w:pPr>
        <w:spacing w:after="0" w:line="183" w:lineRule="exact"/>
        <w:rPr>
          <w:sz w:val="20"/>
          <w:szCs w:val="20"/>
          <w:color w:val="auto"/>
        </w:rPr>
      </w:pPr>
    </w:p>
    <w:p>
      <w:pPr>
        <w:ind w:left="600" w:hanging="599"/>
        <w:spacing w:after="0" w:line="228" w:lineRule="auto"/>
        <w:tabs>
          <w:tab w:leader="none" w:pos="600" w:val="left"/>
        </w:tabs>
        <w:numPr>
          <w:ilvl w:val="0"/>
          <w:numId w:val="163"/>
        </w:numPr>
        <w:rPr>
          <w:rFonts w:ascii="Calibri" w:cs="Calibri" w:eastAsia="Calibri" w:hAnsi="Calibri"/>
          <w:sz w:val="18"/>
          <w:szCs w:val="18"/>
          <w:color w:val="auto"/>
        </w:rPr>
      </w:pPr>
      <w:r>
        <w:rPr>
          <w:rFonts w:ascii="Calibri" w:cs="Calibri" w:eastAsia="Calibri" w:hAnsi="Calibri"/>
          <w:sz w:val="18"/>
          <w:szCs w:val="18"/>
          <w:color w:val="auto"/>
        </w:rPr>
        <w:t>Capital-Executve Ship Management Corp., a corporaton incorporated in the Republic of the Marshall Islands, having its registered address at Trust Company House, Trust Company Complex, Ajeltake Road, Ajeltake Island, Majuro, the Marshall Islands;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63"/>
        </w:numPr>
        <w:rPr>
          <w:rFonts w:ascii="Calibri" w:cs="Calibri" w:eastAsia="Calibri" w:hAnsi="Calibri"/>
          <w:sz w:val="18"/>
          <w:szCs w:val="18"/>
          <w:color w:val="auto"/>
        </w:rPr>
      </w:pPr>
      <w:r>
        <w:rPr>
          <w:rFonts w:ascii="Calibri" w:cs="Calibri" w:eastAsia="Calibri" w:hAnsi="Calibri"/>
          <w:sz w:val="18"/>
          <w:szCs w:val="18"/>
          <w:color w:val="auto"/>
        </w:rPr>
        <w:t>Capital Ship Management Corp., a company incorporated in Panama having its registered ofce at Hong Kong Bank Building, 6th foor, Samuel Lewis Avenue, Panama, Republic of Panama; or</w:t>
      </w:r>
    </w:p>
    <w:p>
      <w:pPr>
        <w:spacing w:after="0" w:line="183" w:lineRule="exact"/>
        <w:rPr>
          <w:rFonts w:ascii="Calibri" w:cs="Calibri" w:eastAsia="Calibri" w:hAnsi="Calibri"/>
          <w:sz w:val="18"/>
          <w:szCs w:val="18"/>
          <w:color w:val="auto"/>
        </w:rPr>
      </w:pPr>
    </w:p>
    <w:p>
      <w:pPr>
        <w:jc w:val="both"/>
        <w:ind w:left="600" w:hanging="599"/>
        <w:spacing w:after="0" w:line="223" w:lineRule="auto"/>
        <w:tabs>
          <w:tab w:leader="none" w:pos="600" w:val="left"/>
        </w:tabs>
        <w:numPr>
          <w:ilvl w:val="0"/>
          <w:numId w:val="163"/>
        </w:numPr>
        <w:rPr>
          <w:rFonts w:ascii="Calibri" w:cs="Calibri" w:eastAsia="Calibri" w:hAnsi="Calibri"/>
          <w:sz w:val="18"/>
          <w:szCs w:val="18"/>
          <w:color w:val="auto"/>
        </w:rPr>
      </w:pPr>
      <w:r>
        <w:rPr>
          <w:rFonts w:ascii="Calibri" w:cs="Calibri" w:eastAsia="Calibri" w:hAnsi="Calibri"/>
          <w:sz w:val="18"/>
          <w:szCs w:val="18"/>
          <w:color w:val="auto"/>
        </w:rPr>
        <w:t>any other experienced and capable management company which the Agent (actng on the instructons of the Majority Lenders) may approve (such approval not to be unreasonably withheld or delayed or conditoned) from tme to tme as the commercial, technical and/or operatonal manager of the Ship and, in the plural, means all of them, being as at the date of this Agreement Capital-Executve Ship Management Corp..</w:t>
      </w:r>
    </w:p>
    <w:p>
      <w:pPr>
        <w:spacing w:after="0" w:line="18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 Manager's Undertaking</w:t>
      </w:r>
      <w:r>
        <w:rPr>
          <w:rFonts w:ascii="Calibri" w:cs="Calibri" w:eastAsia="Calibri" w:hAnsi="Calibri"/>
          <w:sz w:val="18"/>
          <w:szCs w:val="18"/>
          <w:color w:val="auto"/>
        </w:rPr>
        <w:t>" means a leter of undertaking including (inter alia) an assignment of an Approved Manager's rights, ttle and interest in the Insurances executed or, as the context may require, to be executed by that Approved Manager in favour of the Security Trustee in the Agreed Form agreeing certain maters in relaton to that Approved Manager, serving as manager of the Ship and subordinatng its rights against the Ship and the Owner to the rights of the Creditor Partes under the Finance Documents and, in the plural, means all of them.</w:t>
      </w:r>
    </w:p>
    <w:p>
      <w:pPr>
        <w:spacing w:after="0" w:line="32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Artcle 55 BRRD</w:t>
      </w:r>
      <w:r>
        <w:rPr>
          <w:rFonts w:ascii="Calibri" w:cs="Calibri" w:eastAsia="Calibri" w:hAnsi="Calibri"/>
          <w:sz w:val="18"/>
          <w:szCs w:val="18"/>
          <w:color w:val="auto"/>
        </w:rPr>
        <w:t>" means Artcle 55 of Directve 2014/59/EU establishing a framework for the recovery and resoluton of credit insttutons and investment frms.</w:t>
      </w:r>
    </w:p>
    <w:p>
      <w:pPr>
        <w:spacing w:after="0" w:line="184"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Assignable Charter</w:t>
      </w:r>
      <w:r>
        <w:rPr>
          <w:rFonts w:ascii="Calibri" w:cs="Calibri" w:eastAsia="Calibri" w:hAnsi="Calibri"/>
          <w:sz w:val="18"/>
          <w:szCs w:val="18"/>
          <w:color w:val="auto"/>
        </w:rPr>
        <w:t>" means any tme charterparty (including any Approved Charter), consecutve voyage charter or contract of afreightment in respect of the Ship having a duraton (or capable of exceeding a duraton) of 12 months or more and any guarantee of the obligatons of the charterer under such charter or any bareboat charter in respect of the Ship (irrespectve of its duraton) and any guarantee of the obligatons of the charterer under such bareboat charter, entered or to be entered into by the Owner and a charterer or, as the context may require, bareboat charterer and, in the plural, means all of them.</w:t>
      </w:r>
    </w:p>
    <w:p>
      <w:pPr>
        <w:spacing w:after="0" w:line="184"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Availability Period</w:t>
      </w:r>
      <w:r>
        <w:rPr>
          <w:rFonts w:ascii="Calibri" w:cs="Calibri" w:eastAsia="Calibri" w:hAnsi="Calibri"/>
          <w:sz w:val="18"/>
          <w:szCs w:val="18"/>
          <w:color w:val="auto"/>
        </w:rPr>
        <w:t>" means the period commencing on the date of this Agreement and ending on the earlier of:</w:t>
      </w:r>
    </w:p>
    <w:p>
      <w:pPr>
        <w:spacing w:after="0" w:line="181" w:lineRule="exact"/>
        <w:rPr>
          <w:sz w:val="20"/>
          <w:szCs w:val="20"/>
          <w:color w:val="auto"/>
        </w:rPr>
      </w:pPr>
    </w:p>
    <w:p>
      <w:pPr>
        <w:ind w:left="600" w:hanging="599"/>
        <w:spacing w:after="0"/>
        <w:tabs>
          <w:tab w:leader="none" w:pos="600" w:val="left"/>
        </w:tabs>
        <w:numPr>
          <w:ilvl w:val="0"/>
          <w:numId w:val="164"/>
        </w:numPr>
        <w:rPr>
          <w:rFonts w:ascii="Calibri" w:cs="Calibri" w:eastAsia="Calibri" w:hAnsi="Calibri"/>
          <w:sz w:val="18"/>
          <w:szCs w:val="18"/>
          <w:color w:val="auto"/>
        </w:rPr>
      </w:pPr>
      <w:r>
        <w:rPr>
          <w:rFonts w:ascii="Calibri" w:cs="Calibri" w:eastAsia="Calibri" w:hAnsi="Calibri"/>
          <w:sz w:val="18"/>
          <w:szCs w:val="18"/>
          <w:color w:val="auto"/>
        </w:rPr>
        <w:t>1 December 2022 (or such later date as the Agent may, with the authorisaton of all the Lenders, agree with the Borrower); and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64"/>
        </w:numPr>
        <w:rPr>
          <w:rFonts w:ascii="Calibri" w:cs="Calibri" w:eastAsia="Calibri" w:hAnsi="Calibri"/>
          <w:sz w:val="18"/>
          <w:szCs w:val="18"/>
          <w:color w:val="auto"/>
        </w:rPr>
      </w:pPr>
      <w:r>
        <w:rPr>
          <w:rFonts w:ascii="Calibri" w:cs="Calibri" w:eastAsia="Calibri" w:hAnsi="Calibri"/>
          <w:sz w:val="18"/>
          <w:szCs w:val="18"/>
          <w:color w:val="auto"/>
        </w:rPr>
        <w:t>the date on which the Total Commitments are fully borrowed, cancelled or terminated.</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Bail-In Acton</w:t>
      </w:r>
      <w:r>
        <w:rPr>
          <w:rFonts w:ascii="Calibri" w:cs="Calibri" w:eastAsia="Calibri" w:hAnsi="Calibri"/>
          <w:sz w:val="18"/>
          <w:szCs w:val="18"/>
          <w:color w:val="auto"/>
        </w:rPr>
        <w:t>" means the exercise of any Write-down and Conversion Powers.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Bail-In Legislaton</w:t>
      </w:r>
      <w:r>
        <w:rPr>
          <w:rFonts w:ascii="Calibri" w:cs="Calibri" w:eastAsia="Calibri" w:hAnsi="Calibri"/>
          <w:sz w:val="18"/>
          <w:szCs w:val="18"/>
          <w:color w:val="auto"/>
        </w:rPr>
        <w:t>" means:</w:t>
      </w:r>
    </w:p>
    <w:p>
      <w:pPr>
        <w:spacing w:after="0" w:line="182"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46" w:name="page147"/>
    <w:bookmarkEnd w:id="146"/>
    <w:p>
      <w:pPr>
        <w:ind w:left="600" w:hanging="599"/>
        <w:spacing w:after="0" w:line="228" w:lineRule="auto"/>
        <w:tabs>
          <w:tab w:leader="none" w:pos="600" w:val="left"/>
        </w:tabs>
        <w:numPr>
          <w:ilvl w:val="0"/>
          <w:numId w:val="165"/>
        </w:numPr>
        <w:rPr>
          <w:rFonts w:ascii="Calibri" w:cs="Calibri" w:eastAsia="Calibri" w:hAnsi="Calibri"/>
          <w:sz w:val="18"/>
          <w:szCs w:val="18"/>
          <w:color w:val="auto"/>
        </w:rPr>
      </w:pPr>
      <w:r>
        <w:rPr>
          <w:rFonts w:ascii="Calibri" w:cs="Calibri" w:eastAsia="Calibri" w:hAnsi="Calibri"/>
          <w:sz w:val="18"/>
          <w:szCs w:val="18"/>
          <w:color w:val="auto"/>
        </w:rPr>
        <w:t>in relaton to an EEA Member Country which has implemented, or which at any tme implements, Artcle 55 BRRD, the relevant implementng law or regulaton as described in the EU Bail-In Legislaton Schedule from tme to tme;</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165"/>
        </w:numPr>
        <w:rPr>
          <w:rFonts w:ascii="Calibri" w:cs="Calibri" w:eastAsia="Calibri" w:hAnsi="Calibri"/>
          <w:sz w:val="18"/>
          <w:szCs w:val="18"/>
          <w:color w:val="auto"/>
        </w:rPr>
      </w:pPr>
      <w:r>
        <w:rPr>
          <w:rFonts w:ascii="Calibri" w:cs="Calibri" w:eastAsia="Calibri" w:hAnsi="Calibri"/>
          <w:sz w:val="18"/>
          <w:szCs w:val="18"/>
          <w:color w:val="auto"/>
        </w:rPr>
        <w:t>in relaton to any state other than such an EEA Member Country and the United Kingdom, any analogous law or regulaton from tme to tme which requires contractual recogniton of any Write-down and Conversion Powers contained in that law or regulaton; and</w:t>
      </w:r>
    </w:p>
    <w:p>
      <w:pPr>
        <w:spacing w:after="0" w:line="360" w:lineRule="exact"/>
        <w:rPr>
          <w:rFonts w:ascii="Calibri" w:cs="Calibri" w:eastAsia="Calibri" w:hAnsi="Calibri"/>
          <w:sz w:val="18"/>
          <w:szCs w:val="18"/>
          <w:color w:val="auto"/>
        </w:rPr>
      </w:pPr>
    </w:p>
    <w:p>
      <w:pPr>
        <w:ind w:left="600" w:hanging="599"/>
        <w:spacing w:after="0"/>
        <w:tabs>
          <w:tab w:leader="none" w:pos="600" w:val="left"/>
        </w:tabs>
        <w:numPr>
          <w:ilvl w:val="0"/>
          <w:numId w:val="165"/>
        </w:numPr>
        <w:rPr>
          <w:rFonts w:ascii="Calibri" w:cs="Calibri" w:eastAsia="Calibri" w:hAnsi="Calibri"/>
          <w:sz w:val="18"/>
          <w:szCs w:val="18"/>
          <w:color w:val="auto"/>
        </w:rPr>
      </w:pPr>
      <w:r>
        <w:rPr>
          <w:rFonts w:ascii="Calibri" w:cs="Calibri" w:eastAsia="Calibri" w:hAnsi="Calibri"/>
          <w:sz w:val="18"/>
          <w:szCs w:val="18"/>
          <w:color w:val="auto"/>
        </w:rPr>
        <w:t>in relaton to the United Kingdom, the UK Bail-In Legislaton.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Balloon Instalment</w:t>
      </w:r>
      <w:r>
        <w:rPr>
          <w:rFonts w:ascii="Calibri" w:cs="Calibri" w:eastAsia="Calibri" w:hAnsi="Calibri"/>
          <w:sz w:val="18"/>
          <w:szCs w:val="18"/>
          <w:color w:val="auto"/>
        </w:rPr>
        <w:t>" has the meaning given in Clause 8.1.</w:t>
      </w:r>
    </w:p>
    <w:p>
      <w:pPr>
        <w:spacing w:after="0" w:line="183"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Bareboat Charter Security Agreement</w:t>
      </w:r>
      <w:r>
        <w:rPr>
          <w:rFonts w:ascii="Calibri" w:cs="Calibri" w:eastAsia="Calibri" w:hAnsi="Calibri"/>
          <w:sz w:val="18"/>
          <w:szCs w:val="18"/>
          <w:color w:val="auto"/>
        </w:rPr>
        <w:t>" means, in relaton to an Assignable Charter which is a bareboat charter (which charter may be entered into by the Owner subject to Clause 14.12(a)), an agreement or agreements whereby the Security Trustee receives an assignment of the rights of the Owner under the bareboat charter and certain undertakings from the Owner and the relevant charterer and, if so agreed by the Security Trustee (actng with the authorisaton of the Majority Lenders), agrees to give certain undertakings to that charterer, in an Agreed Form and, in the plural, means all of them.</w:t>
      </w:r>
    </w:p>
    <w:p>
      <w:pPr>
        <w:spacing w:after="0" w:line="184"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Basel III</w:t>
      </w:r>
      <w:r>
        <w:rPr>
          <w:rFonts w:ascii="Calibri" w:cs="Calibri" w:eastAsia="Calibri" w:hAnsi="Calibri"/>
          <w:sz w:val="18"/>
          <w:szCs w:val="18"/>
          <w:color w:val="auto"/>
        </w:rPr>
        <w:t>" means, together:</w:t>
      </w:r>
    </w:p>
    <w:p>
      <w:pPr>
        <w:spacing w:after="0" w:line="181" w:lineRule="exact"/>
        <w:rPr>
          <w:sz w:val="20"/>
          <w:szCs w:val="20"/>
          <w:color w:val="auto"/>
        </w:rPr>
      </w:pPr>
    </w:p>
    <w:p>
      <w:pPr>
        <w:ind w:left="600" w:hanging="599"/>
        <w:spacing w:after="0"/>
        <w:tabs>
          <w:tab w:leader="none" w:pos="600" w:val="left"/>
        </w:tabs>
        <w:numPr>
          <w:ilvl w:val="0"/>
          <w:numId w:val="166"/>
        </w:numPr>
        <w:rPr>
          <w:rFonts w:ascii="Calibri" w:cs="Calibri" w:eastAsia="Calibri" w:hAnsi="Calibri"/>
          <w:sz w:val="18"/>
          <w:szCs w:val="18"/>
          <w:color w:val="auto"/>
        </w:rPr>
      </w:pPr>
      <w:r>
        <w:rPr>
          <w:rFonts w:ascii="Calibri" w:cs="Calibri" w:eastAsia="Calibri" w:hAnsi="Calibri"/>
          <w:sz w:val="18"/>
          <w:szCs w:val="18"/>
          <w:color w:val="auto"/>
        </w:rPr>
        <w:t>the agreements on capital requirements, a leverage rato and liquidity standards contained in "Basel III: A global regulatory</w:t>
      </w:r>
    </w:p>
    <w:p>
      <w:pPr>
        <w:jc w:val="both"/>
        <w:ind w:left="600"/>
        <w:spacing w:after="0" w:line="218" w:lineRule="auto"/>
        <w:rPr>
          <w:rFonts w:ascii="Calibri" w:cs="Calibri" w:eastAsia="Calibri" w:hAnsi="Calibri"/>
          <w:sz w:val="18"/>
          <w:szCs w:val="18"/>
          <w:color w:val="auto"/>
        </w:rPr>
      </w:pPr>
      <w:r>
        <w:rPr>
          <w:rFonts w:ascii="Calibri" w:cs="Calibri" w:eastAsia="Calibri" w:hAnsi="Calibri"/>
          <w:sz w:val="18"/>
          <w:szCs w:val="18"/>
          <w:color w:val="auto"/>
        </w:rPr>
        <w:t>framework for more resilient banks and banking systems", "Basel III: Internatonal framework for liquidity risk measurement, standards and monitoring" and "Guidance for natonal authorites operatng the countercyclical capital bufer" published by the Basel Commitee on Banking Supervision in December 2010, each as amended, supplemented or restated;</w:t>
      </w:r>
    </w:p>
    <w:p>
      <w:pPr>
        <w:spacing w:after="0" w:line="185"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66"/>
        </w:numPr>
        <w:rPr>
          <w:rFonts w:ascii="Calibri" w:cs="Calibri" w:eastAsia="Calibri" w:hAnsi="Calibri"/>
          <w:sz w:val="18"/>
          <w:szCs w:val="18"/>
          <w:color w:val="auto"/>
        </w:rPr>
      </w:pPr>
      <w:r>
        <w:rPr>
          <w:rFonts w:ascii="Calibri" w:cs="Calibri" w:eastAsia="Calibri" w:hAnsi="Calibri"/>
          <w:sz w:val="18"/>
          <w:szCs w:val="18"/>
          <w:color w:val="auto"/>
        </w:rPr>
        <w:t>the rules for global systemically important banks contained in "Global systemically important banks: assessment methodology and the additonal loss absorbency requirement - Rules text" published by the Basel Commitee on Banking Supervision in November 2011, as amended, supplemented or restated; and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66"/>
        </w:numPr>
        <w:rPr>
          <w:rFonts w:ascii="Calibri" w:cs="Calibri" w:eastAsia="Calibri" w:hAnsi="Calibri"/>
          <w:sz w:val="18"/>
          <w:szCs w:val="18"/>
          <w:color w:val="auto"/>
        </w:rPr>
      </w:pPr>
      <w:r>
        <w:rPr>
          <w:rFonts w:ascii="Calibri" w:cs="Calibri" w:eastAsia="Calibri" w:hAnsi="Calibri"/>
          <w:sz w:val="18"/>
          <w:szCs w:val="18"/>
          <w:color w:val="auto"/>
        </w:rPr>
        <w:t>any further guidance or standards published by the Basel Commitee on Banking Supervision relatng to "Basel III".</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Borrower</w:t>
      </w:r>
      <w:r>
        <w:rPr>
          <w:rFonts w:ascii="Calibri" w:cs="Calibri" w:eastAsia="Calibri" w:hAnsi="Calibri"/>
          <w:sz w:val="18"/>
          <w:szCs w:val="18"/>
          <w:color w:val="auto"/>
        </w:rPr>
        <w:t>" means Capital Product Partners L.P., a limited partnership formed in the Republic of the Marshall Islands whose registered address is at Trust Company Complex, Ajeltake Road, Ajeltake Island, Majuro MH96960, the Marshall Islands.</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Break Costs</w:t>
      </w:r>
      <w:r>
        <w:rPr>
          <w:rFonts w:ascii="Calibri" w:cs="Calibri" w:eastAsia="Calibri" w:hAnsi="Calibri"/>
          <w:sz w:val="18"/>
          <w:szCs w:val="18"/>
          <w:color w:val="auto"/>
        </w:rPr>
        <w:t>" has the meaning given in Clause 21.2.</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Builder</w:t>
      </w:r>
      <w:r>
        <w:rPr>
          <w:rFonts w:ascii="Calibri" w:cs="Calibri" w:eastAsia="Calibri" w:hAnsi="Calibri"/>
          <w:sz w:val="18"/>
          <w:szCs w:val="18"/>
          <w:color w:val="auto"/>
        </w:rPr>
        <w:t>" means Hyundai Samho Heavy Industries Co., Ltd., of South Korea.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Business Day</w:t>
      </w:r>
      <w:r>
        <w:rPr>
          <w:rFonts w:ascii="Calibri" w:cs="Calibri" w:eastAsia="Calibri" w:hAnsi="Calibri"/>
          <w:sz w:val="18"/>
          <w:szCs w:val="18"/>
          <w:color w:val="auto"/>
        </w:rPr>
        <w:t>" means a day (other than a Saturday or Sunday) on which banks are open for general business:</w:t>
      </w:r>
    </w:p>
    <w:p>
      <w:pPr>
        <w:spacing w:after="0" w:line="183" w:lineRule="exact"/>
        <w:rPr>
          <w:sz w:val="20"/>
          <w:szCs w:val="20"/>
          <w:color w:val="auto"/>
        </w:rPr>
      </w:pPr>
    </w:p>
    <w:p>
      <w:pPr>
        <w:ind w:left="600" w:hanging="599"/>
        <w:spacing w:after="0" w:line="228" w:lineRule="auto"/>
        <w:tabs>
          <w:tab w:leader="none" w:pos="600" w:val="left"/>
        </w:tabs>
        <w:numPr>
          <w:ilvl w:val="0"/>
          <w:numId w:val="167"/>
        </w:numPr>
        <w:rPr>
          <w:rFonts w:ascii="Calibri" w:cs="Calibri" w:eastAsia="Calibri" w:hAnsi="Calibri"/>
          <w:sz w:val="18"/>
          <w:szCs w:val="18"/>
          <w:color w:val="auto"/>
        </w:rPr>
      </w:pPr>
      <w:r>
        <w:rPr>
          <w:rFonts w:ascii="Calibri" w:cs="Calibri" w:eastAsia="Calibri" w:hAnsi="Calibri"/>
          <w:sz w:val="18"/>
          <w:szCs w:val="18"/>
          <w:color w:val="auto"/>
        </w:rPr>
        <w:t>in Hamburg and New York regarding the fxing of any interest rate which is required to be determined under this Agreement or any Finance Document;</w:t>
      </w:r>
    </w:p>
    <w:p>
      <w:pPr>
        <w:spacing w:after="0" w:line="183"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47" w:name="page148"/>
    <w:bookmarkEnd w:id="147"/>
    <w:p>
      <w:pPr>
        <w:ind w:left="600" w:hanging="599"/>
        <w:spacing w:after="0" w:line="228" w:lineRule="auto"/>
        <w:tabs>
          <w:tab w:leader="none" w:pos="600" w:val="left"/>
        </w:tabs>
        <w:numPr>
          <w:ilvl w:val="0"/>
          <w:numId w:val="168"/>
        </w:numPr>
        <w:rPr>
          <w:rFonts w:ascii="Calibri" w:cs="Calibri" w:eastAsia="Calibri" w:hAnsi="Calibri"/>
          <w:sz w:val="18"/>
          <w:szCs w:val="18"/>
          <w:color w:val="auto"/>
        </w:rPr>
      </w:pPr>
      <w:r>
        <w:rPr>
          <w:rFonts w:ascii="Calibri" w:cs="Calibri" w:eastAsia="Calibri" w:hAnsi="Calibri"/>
          <w:sz w:val="18"/>
          <w:szCs w:val="18"/>
          <w:color w:val="auto"/>
        </w:rPr>
        <w:t>in Hamburg and New York and, untl the Delivery Date, also in Korea in respect of any payment which is required to be made under a Finance Document;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68"/>
        </w:numPr>
        <w:rPr>
          <w:rFonts w:ascii="Calibri" w:cs="Calibri" w:eastAsia="Calibri" w:hAnsi="Calibri"/>
          <w:sz w:val="18"/>
          <w:szCs w:val="18"/>
          <w:color w:val="auto"/>
        </w:rPr>
      </w:pPr>
      <w:r>
        <w:rPr>
          <w:rFonts w:ascii="Calibri" w:cs="Calibri" w:eastAsia="Calibri" w:hAnsi="Calibri"/>
          <w:sz w:val="18"/>
          <w:szCs w:val="18"/>
          <w:color w:val="auto"/>
        </w:rPr>
        <w:t>in Hamburg and Piraeus regarding any other acton to be taken under this Agreement or any other Finance Document; and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68"/>
        </w:numPr>
        <w:rPr>
          <w:rFonts w:ascii="Calibri" w:cs="Calibri" w:eastAsia="Calibri" w:hAnsi="Calibri"/>
          <w:sz w:val="18"/>
          <w:szCs w:val="18"/>
          <w:color w:val="auto"/>
        </w:rPr>
      </w:pPr>
      <w:r>
        <w:rPr>
          <w:rFonts w:ascii="Calibri" w:cs="Calibri" w:eastAsia="Calibri" w:hAnsi="Calibri"/>
          <w:sz w:val="18"/>
          <w:szCs w:val="18"/>
          <w:color w:val="auto"/>
        </w:rPr>
        <w:t>in relaton to:</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68"/>
        </w:numPr>
        <w:rPr>
          <w:rFonts w:ascii="Calibri" w:cs="Calibri" w:eastAsia="Calibri" w:hAnsi="Calibri"/>
          <w:sz w:val="18"/>
          <w:szCs w:val="18"/>
          <w:color w:val="auto"/>
        </w:rPr>
      </w:pPr>
      <w:r>
        <w:rPr>
          <w:rFonts w:ascii="Calibri" w:cs="Calibri" w:eastAsia="Calibri" w:hAnsi="Calibri"/>
          <w:sz w:val="18"/>
          <w:szCs w:val="18"/>
          <w:color w:val="auto"/>
        </w:rPr>
        <w:t>any date for payment or purchase of dollars; or</w:t>
      </w:r>
    </w:p>
    <w:p>
      <w:pPr>
        <w:spacing w:after="0" w:line="183" w:lineRule="exact"/>
        <w:rPr>
          <w:rFonts w:ascii="Calibri" w:cs="Calibri" w:eastAsia="Calibri" w:hAnsi="Calibri"/>
          <w:sz w:val="18"/>
          <w:szCs w:val="18"/>
          <w:color w:val="auto"/>
        </w:rPr>
      </w:pPr>
    </w:p>
    <w:p>
      <w:pPr>
        <w:ind w:left="1200" w:hanging="597"/>
        <w:spacing w:after="0" w:line="228" w:lineRule="auto"/>
        <w:tabs>
          <w:tab w:leader="none" w:pos="1200" w:val="left"/>
        </w:tabs>
        <w:numPr>
          <w:ilvl w:val="1"/>
          <w:numId w:val="168"/>
        </w:numPr>
        <w:rPr>
          <w:rFonts w:ascii="Calibri" w:cs="Calibri" w:eastAsia="Calibri" w:hAnsi="Calibri"/>
          <w:sz w:val="18"/>
          <w:szCs w:val="18"/>
          <w:color w:val="auto"/>
        </w:rPr>
      </w:pPr>
      <w:r>
        <w:rPr>
          <w:rFonts w:ascii="Calibri" w:cs="Calibri" w:eastAsia="Calibri" w:hAnsi="Calibri"/>
          <w:sz w:val="18"/>
          <w:szCs w:val="18"/>
          <w:color w:val="auto"/>
        </w:rPr>
        <w:t>the determinaton of the frst day or the last day of an Interest Period or otherwise in relaton to the determinaton of the length of or rate for an Interest Period,</w:t>
      </w:r>
    </w:p>
    <w:p>
      <w:pPr>
        <w:spacing w:after="0" w:line="182" w:lineRule="exact"/>
        <w:rPr>
          <w:sz w:val="20"/>
          <w:szCs w:val="20"/>
          <w:color w:val="auto"/>
        </w:rPr>
      </w:pPr>
    </w:p>
    <w:p>
      <w:pPr>
        <w:ind w:left="1200"/>
        <w:spacing w:after="0"/>
        <w:rPr>
          <w:sz w:val="20"/>
          <w:szCs w:val="20"/>
          <w:color w:val="auto"/>
        </w:rPr>
      </w:pPr>
      <w:r>
        <w:rPr>
          <w:rFonts w:ascii="Calibri" w:cs="Calibri" w:eastAsia="Calibri" w:hAnsi="Calibri"/>
          <w:sz w:val="18"/>
          <w:szCs w:val="18"/>
          <w:color w:val="auto"/>
        </w:rPr>
        <w:t>a day which is an Additonal Business Day.</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Cancellaton Notce</w:t>
      </w:r>
      <w:r>
        <w:rPr>
          <w:rFonts w:ascii="Calibri" w:cs="Calibri" w:eastAsia="Calibri" w:hAnsi="Calibri"/>
          <w:sz w:val="18"/>
          <w:szCs w:val="18"/>
          <w:color w:val="auto"/>
        </w:rPr>
        <w:t>" has the meaning given in Clause 8.7.</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Central Bank Rate</w:t>
      </w:r>
      <w:r>
        <w:rPr>
          <w:rFonts w:ascii="Calibri" w:cs="Calibri" w:eastAsia="Calibri" w:hAnsi="Calibri"/>
          <w:sz w:val="18"/>
          <w:szCs w:val="18"/>
          <w:color w:val="auto"/>
        </w:rPr>
        <w:t>" has the meaning given to that term in the Reference Rate Terms;</w:t>
      </w:r>
    </w:p>
    <w:p>
      <w:pPr>
        <w:spacing w:after="0" w:line="183" w:lineRule="exact"/>
        <w:rPr>
          <w:sz w:val="20"/>
          <w:szCs w:val="20"/>
          <w:color w:val="auto"/>
        </w:rPr>
      </w:pPr>
    </w:p>
    <w:p>
      <w:pPr>
        <w:ind w:right="3200"/>
        <w:spacing w:after="0" w:line="436"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Central Bank Rate Adjustment</w:t>
      </w:r>
      <w:r>
        <w:rPr>
          <w:rFonts w:ascii="Calibri" w:cs="Calibri" w:eastAsia="Calibri" w:hAnsi="Calibri"/>
          <w:sz w:val="18"/>
          <w:szCs w:val="18"/>
          <w:color w:val="auto"/>
        </w:rPr>
        <w:t>" has the meaning given to that term in the Reference Rate Terms; "</w:t>
      </w:r>
      <w:r>
        <w:rPr>
          <w:rFonts w:ascii="Calibri" w:cs="Calibri" w:eastAsia="Calibri" w:hAnsi="Calibri"/>
          <w:sz w:val="18"/>
          <w:szCs w:val="18"/>
          <w:b w:val="1"/>
          <w:bCs w:val="1"/>
          <w:color w:val="auto"/>
        </w:rPr>
        <w:t>Central Bank Rate Spread</w:t>
      </w:r>
      <w:r>
        <w:rPr>
          <w:rFonts w:ascii="Calibri" w:cs="Calibri" w:eastAsia="Calibri" w:hAnsi="Calibri"/>
          <w:sz w:val="18"/>
          <w:szCs w:val="18"/>
          <w:color w:val="auto"/>
        </w:rPr>
        <w:t>" has the meaning given to that term in the Reference Rate Terms; "</w:t>
      </w:r>
      <w:r>
        <w:rPr>
          <w:rFonts w:ascii="Calibri" w:cs="Calibri" w:eastAsia="Calibri" w:hAnsi="Calibri"/>
          <w:sz w:val="18"/>
          <w:szCs w:val="18"/>
          <w:b w:val="1"/>
          <w:bCs w:val="1"/>
          <w:color w:val="auto"/>
        </w:rPr>
        <w:t>Change of Control</w:t>
      </w:r>
      <w:r>
        <w:rPr>
          <w:rFonts w:ascii="Calibri" w:cs="Calibri" w:eastAsia="Calibri" w:hAnsi="Calibri"/>
          <w:sz w:val="18"/>
          <w:szCs w:val="18"/>
          <w:color w:val="auto"/>
        </w:rPr>
        <w:t>" means:</w:t>
      </w:r>
    </w:p>
    <w:p>
      <w:pPr>
        <w:spacing w:after="0" w:line="5" w:lineRule="exact"/>
        <w:rPr>
          <w:sz w:val="20"/>
          <w:szCs w:val="20"/>
          <w:color w:val="auto"/>
        </w:rPr>
      </w:pPr>
    </w:p>
    <w:p>
      <w:pPr>
        <w:ind w:left="600" w:hanging="599"/>
        <w:spacing w:after="0" w:line="228" w:lineRule="auto"/>
        <w:tabs>
          <w:tab w:leader="none" w:pos="600" w:val="left"/>
        </w:tabs>
        <w:numPr>
          <w:ilvl w:val="0"/>
          <w:numId w:val="169"/>
        </w:numPr>
        <w:rPr>
          <w:rFonts w:ascii="Calibri" w:cs="Calibri" w:eastAsia="Calibri" w:hAnsi="Calibri"/>
          <w:sz w:val="18"/>
          <w:szCs w:val="18"/>
          <w:color w:val="auto"/>
        </w:rPr>
      </w:pPr>
      <w:r>
        <w:rPr>
          <w:rFonts w:ascii="Calibri" w:cs="Calibri" w:eastAsia="Calibri" w:hAnsi="Calibri"/>
          <w:sz w:val="18"/>
          <w:szCs w:val="18"/>
          <w:color w:val="auto"/>
        </w:rPr>
        <w:t>any person or group of persons actng in concert gaining direct or indirect control of the Borrower or the Owner other than the Permited Holders; and/or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69"/>
        </w:numPr>
        <w:rPr>
          <w:rFonts w:ascii="Calibri" w:cs="Calibri" w:eastAsia="Calibri" w:hAnsi="Calibri"/>
          <w:sz w:val="18"/>
          <w:szCs w:val="18"/>
          <w:color w:val="auto"/>
        </w:rPr>
      </w:pPr>
      <w:r>
        <w:rPr>
          <w:rFonts w:ascii="Calibri" w:cs="Calibri" w:eastAsia="Calibri" w:hAnsi="Calibri"/>
          <w:sz w:val="18"/>
          <w:szCs w:val="18"/>
          <w:color w:val="auto"/>
        </w:rPr>
        <w:t>any person or group of persons actng in concert (save for any passive insttutonal investor) acquiring ownership of more common units in the capital of the Borrower than the Permited Holders; and/or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69"/>
        </w:numPr>
        <w:rPr>
          <w:rFonts w:ascii="Calibri" w:cs="Calibri" w:eastAsia="Calibri" w:hAnsi="Calibri"/>
          <w:sz w:val="18"/>
          <w:szCs w:val="18"/>
          <w:color w:val="auto"/>
        </w:rPr>
      </w:pPr>
      <w:r>
        <w:rPr>
          <w:rFonts w:ascii="Calibri" w:cs="Calibri" w:eastAsia="Calibri" w:hAnsi="Calibri"/>
          <w:sz w:val="18"/>
          <w:szCs w:val="18"/>
          <w:color w:val="auto"/>
        </w:rPr>
        <w:t>on and from the Delivery Date, the Borrower ceasing to directly or indirectly own 100 per cent. of, or ceasing to control, the Owner; and/or</w:t>
      </w:r>
    </w:p>
    <w:p>
      <w:pPr>
        <w:spacing w:after="0" w:line="183"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69"/>
        </w:numPr>
        <w:rPr>
          <w:rFonts w:ascii="Calibri" w:cs="Calibri" w:eastAsia="Calibri" w:hAnsi="Calibri"/>
          <w:sz w:val="18"/>
          <w:szCs w:val="18"/>
          <w:color w:val="auto"/>
        </w:rPr>
      </w:pPr>
      <w:r>
        <w:rPr>
          <w:rFonts w:ascii="Calibri" w:cs="Calibri" w:eastAsia="Calibri" w:hAnsi="Calibri"/>
          <w:sz w:val="18"/>
          <w:szCs w:val="18"/>
          <w:color w:val="auto"/>
        </w:rPr>
        <w:t>Capital GP L.L.C. of the Republic of the Marshall Islands ceasing to be the Borrower's general partner, provided that no Change of Control shall be deemed to have occurred under this paragraph (d) if the common units in the capital of the Borrower (save for any passive insttutonal investor) are in direct or indirect control by the Permited Holders.</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Charterparty Assignment</w:t>
      </w:r>
      <w:r>
        <w:rPr>
          <w:rFonts w:ascii="Calibri" w:cs="Calibri" w:eastAsia="Calibri" w:hAnsi="Calibri"/>
          <w:sz w:val="18"/>
          <w:szCs w:val="18"/>
          <w:color w:val="auto"/>
        </w:rPr>
        <w:t>" means, in relaton to an Assignable Charter, an assignment of the rights of the Owner which is a party to that Assignable Charter and any guarantee of such Assignable Charter executed or, as the context may require, to be executed by the Owner in favour of the Security Trustee in the Agreed Form and, in the plural, means all of them.</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Code</w:t>
      </w:r>
      <w:r>
        <w:rPr>
          <w:rFonts w:ascii="Calibri" w:cs="Calibri" w:eastAsia="Calibri" w:hAnsi="Calibri"/>
          <w:sz w:val="18"/>
          <w:szCs w:val="18"/>
          <w:color w:val="auto"/>
        </w:rPr>
        <w:t>" means the US Internal Revenue Code of 1986.</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Commitment</w:t>
      </w:r>
      <w:r>
        <w:rPr>
          <w:rFonts w:ascii="Calibri" w:cs="Calibri" w:eastAsia="Calibri" w:hAnsi="Calibri"/>
          <w:sz w:val="18"/>
          <w:szCs w:val="18"/>
          <w:color w:val="auto"/>
        </w:rPr>
        <w:t>" means, in relaton to a Lender, the amount set opposite its name in Part A of Schedule 1, or, as the case may require, the amount specifed in the relevant Transfer Certfcate, as that amount may be reduced, cancelled or terminated in accordance with this</w:t>
      </w:r>
    </w:p>
    <w:p>
      <w:pPr>
        <w:spacing w:after="0" w:line="183"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48" w:name="page149"/>
    <w:bookmarkEnd w:id="148"/>
    <w:p>
      <w:pPr>
        <w:spacing w:after="0"/>
        <w:rPr>
          <w:sz w:val="20"/>
          <w:szCs w:val="20"/>
          <w:color w:val="auto"/>
        </w:rPr>
      </w:pPr>
      <w:r>
        <w:rPr>
          <w:rFonts w:ascii="Calibri" w:cs="Calibri" w:eastAsia="Calibri" w:hAnsi="Calibri"/>
          <w:sz w:val="18"/>
          <w:szCs w:val="18"/>
          <w:color w:val="auto"/>
        </w:rPr>
        <w:t>Agreement (and "</w:t>
      </w:r>
      <w:r>
        <w:rPr>
          <w:rFonts w:ascii="Calibri" w:cs="Calibri" w:eastAsia="Calibri" w:hAnsi="Calibri"/>
          <w:sz w:val="18"/>
          <w:szCs w:val="18"/>
          <w:b w:val="1"/>
          <w:bCs w:val="1"/>
          <w:color w:val="auto"/>
        </w:rPr>
        <w:t>Total Commitments</w:t>
      </w:r>
      <w:r>
        <w:rPr>
          <w:rFonts w:ascii="Calibri" w:cs="Calibri" w:eastAsia="Calibri" w:hAnsi="Calibri"/>
          <w:sz w:val="18"/>
          <w:szCs w:val="18"/>
          <w:color w:val="auto"/>
        </w:rPr>
        <w:t>" means the aggregate of the Commitments of all the Lenders).</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Compliance Certfcate</w:t>
      </w:r>
      <w:r>
        <w:rPr>
          <w:rFonts w:ascii="Calibri" w:cs="Calibri" w:eastAsia="Calibri" w:hAnsi="Calibri"/>
          <w:sz w:val="18"/>
          <w:szCs w:val="18"/>
          <w:color w:val="auto"/>
        </w:rPr>
        <w:t>" means a certfcate in the form set out in Schedule 6 (or in any other form which the Agent approves or reasonably requires) to be provided at the tmes and in the manner set out in Clause 11.21.</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Compounded Reference Rate</w:t>
      </w:r>
      <w:r>
        <w:rPr>
          <w:rFonts w:ascii="Calibri" w:cs="Calibri" w:eastAsia="Calibri" w:hAnsi="Calibri"/>
          <w:sz w:val="18"/>
          <w:szCs w:val="18"/>
          <w:color w:val="auto"/>
        </w:rPr>
        <w:t>" means in relaton to any RFR Banking Day during the Interest Period of the Loan or any part of the Loan, the percentage rate per annum which is the Daily Non-Cumulatve Compounded RFR Rate for that RFR Banking Day;</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Compounding Methodology Supplement</w:t>
      </w:r>
      <w:r>
        <w:rPr>
          <w:rFonts w:ascii="Calibri" w:cs="Calibri" w:eastAsia="Calibri" w:hAnsi="Calibri"/>
          <w:sz w:val="18"/>
          <w:szCs w:val="18"/>
          <w:color w:val="auto"/>
        </w:rPr>
        <w:t>" means, in relaton to the Daily Non-Cumulatve Compounded RFR Rate or the Cumulatve Compounded RFR Rate, a document which:</w:t>
      </w:r>
    </w:p>
    <w:p>
      <w:pPr>
        <w:spacing w:after="0" w:line="182" w:lineRule="exact"/>
        <w:rPr>
          <w:sz w:val="20"/>
          <w:szCs w:val="20"/>
          <w:color w:val="auto"/>
        </w:rPr>
      </w:pPr>
    </w:p>
    <w:p>
      <w:pPr>
        <w:ind w:left="600" w:hanging="599"/>
        <w:spacing w:after="0"/>
        <w:tabs>
          <w:tab w:leader="none" w:pos="600" w:val="left"/>
        </w:tabs>
        <w:numPr>
          <w:ilvl w:val="0"/>
          <w:numId w:val="170"/>
        </w:numPr>
        <w:rPr>
          <w:rFonts w:ascii="Calibri" w:cs="Calibri" w:eastAsia="Calibri" w:hAnsi="Calibri"/>
          <w:sz w:val="18"/>
          <w:szCs w:val="18"/>
          <w:color w:val="auto"/>
        </w:rPr>
      </w:pPr>
      <w:r>
        <w:rPr>
          <w:rFonts w:ascii="Calibri" w:cs="Calibri" w:eastAsia="Calibri" w:hAnsi="Calibri"/>
          <w:sz w:val="18"/>
          <w:szCs w:val="18"/>
          <w:color w:val="auto"/>
        </w:rPr>
        <w:t>is agreed in writng by the Borrower and the Agent (in its own capacity) and the Agent (actng on the instructons of the Lenders);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70"/>
        </w:numPr>
        <w:rPr>
          <w:rFonts w:ascii="Calibri" w:cs="Calibri" w:eastAsia="Calibri" w:hAnsi="Calibri"/>
          <w:sz w:val="18"/>
          <w:szCs w:val="18"/>
          <w:color w:val="auto"/>
        </w:rPr>
      </w:pPr>
      <w:r>
        <w:rPr>
          <w:rFonts w:ascii="Calibri" w:cs="Calibri" w:eastAsia="Calibri" w:hAnsi="Calibri"/>
          <w:sz w:val="18"/>
          <w:szCs w:val="18"/>
          <w:color w:val="auto"/>
        </w:rPr>
        <w:t>specifes a calculaton methodology for that rate; and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70"/>
        </w:numPr>
        <w:rPr>
          <w:rFonts w:ascii="Calibri" w:cs="Calibri" w:eastAsia="Calibri" w:hAnsi="Calibri"/>
          <w:sz w:val="18"/>
          <w:szCs w:val="18"/>
          <w:color w:val="auto"/>
        </w:rPr>
      </w:pPr>
      <w:r>
        <w:rPr>
          <w:rFonts w:ascii="Calibri" w:cs="Calibri" w:eastAsia="Calibri" w:hAnsi="Calibri"/>
          <w:sz w:val="18"/>
          <w:szCs w:val="18"/>
          <w:color w:val="auto"/>
        </w:rPr>
        <w:t>has been made available to the Borrower and each Creditor Party;</w:t>
      </w:r>
    </w:p>
    <w:p>
      <w:pPr>
        <w:spacing w:after="0" w:line="183"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Confdental Informaton</w:t>
      </w:r>
      <w:r>
        <w:rPr>
          <w:rFonts w:ascii="Calibri" w:cs="Calibri" w:eastAsia="Calibri" w:hAnsi="Calibri"/>
          <w:sz w:val="18"/>
          <w:szCs w:val="18"/>
          <w:color w:val="auto"/>
        </w:rPr>
        <w:t>" means all informaton relatng to the Borrower, any Security Party, any Approved Manager, the Group, the Finance Documents or the Loan of which a Creditor Party becomes aware in its capacity as, or for the purpose of becoming, a Creditor Party or which is received by a Creditor Party in relaton to, or for the purpose of becoming a Creditor Party under, the Finance Documents or the Loan from either:</w:t>
      </w:r>
    </w:p>
    <w:p>
      <w:pPr>
        <w:spacing w:after="0" w:line="341" w:lineRule="exact"/>
        <w:rPr>
          <w:sz w:val="20"/>
          <w:szCs w:val="20"/>
          <w:color w:val="auto"/>
        </w:rPr>
      </w:pPr>
    </w:p>
    <w:p>
      <w:pPr>
        <w:ind w:left="600" w:hanging="599"/>
        <w:spacing w:after="0"/>
        <w:tabs>
          <w:tab w:leader="none" w:pos="600" w:val="left"/>
        </w:tabs>
        <w:numPr>
          <w:ilvl w:val="0"/>
          <w:numId w:val="171"/>
        </w:numPr>
        <w:rPr>
          <w:rFonts w:ascii="Calibri" w:cs="Calibri" w:eastAsia="Calibri" w:hAnsi="Calibri"/>
          <w:sz w:val="18"/>
          <w:szCs w:val="18"/>
          <w:color w:val="auto"/>
        </w:rPr>
      </w:pPr>
      <w:r>
        <w:rPr>
          <w:rFonts w:ascii="Calibri" w:cs="Calibri" w:eastAsia="Calibri" w:hAnsi="Calibri"/>
          <w:sz w:val="18"/>
          <w:szCs w:val="18"/>
          <w:color w:val="auto"/>
        </w:rPr>
        <w:t>any member of the Group or any of its advisers;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71"/>
        </w:numPr>
        <w:rPr>
          <w:rFonts w:ascii="Calibri" w:cs="Calibri" w:eastAsia="Calibri" w:hAnsi="Calibri"/>
          <w:sz w:val="18"/>
          <w:szCs w:val="18"/>
          <w:color w:val="auto"/>
        </w:rPr>
      </w:pPr>
      <w:r>
        <w:rPr>
          <w:rFonts w:ascii="Calibri" w:cs="Calibri" w:eastAsia="Calibri" w:hAnsi="Calibri"/>
          <w:sz w:val="18"/>
          <w:szCs w:val="18"/>
          <w:color w:val="auto"/>
        </w:rPr>
        <w:t>another Creditor Party, if the informaton was obtained by that Creditor Party directly or indirectly from any member of the Group or any of its advisers,</w:t>
      </w:r>
    </w:p>
    <w:p>
      <w:pPr>
        <w:spacing w:after="0" w:line="183" w:lineRule="exact"/>
        <w:rPr>
          <w:rFonts w:ascii="Calibri" w:cs="Calibri" w:eastAsia="Calibri" w:hAnsi="Calibri"/>
          <w:sz w:val="18"/>
          <w:szCs w:val="18"/>
          <w:color w:val="auto"/>
        </w:rPr>
      </w:pPr>
    </w:p>
    <w:p>
      <w:pPr>
        <w:ind w:left="58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in whatever form, and includes informaton given orally and any document, electronic fle or any other way of representng or recording informaton which contains or is derived or copied from such informaton but excludes:</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1"/>
        </w:numPr>
        <w:rPr>
          <w:rFonts w:ascii="Calibri" w:cs="Calibri" w:eastAsia="Calibri" w:hAnsi="Calibri"/>
          <w:sz w:val="18"/>
          <w:szCs w:val="18"/>
          <w:color w:val="auto"/>
        </w:rPr>
      </w:pPr>
      <w:r>
        <w:rPr>
          <w:rFonts w:ascii="Calibri" w:cs="Calibri" w:eastAsia="Calibri" w:hAnsi="Calibri"/>
          <w:sz w:val="18"/>
          <w:szCs w:val="18"/>
          <w:color w:val="auto"/>
        </w:rPr>
        <w:t>informaton that:</w:t>
      </w:r>
    </w:p>
    <w:p>
      <w:pPr>
        <w:spacing w:after="0" w:line="183" w:lineRule="exact"/>
        <w:rPr>
          <w:rFonts w:ascii="Calibri" w:cs="Calibri" w:eastAsia="Calibri" w:hAnsi="Calibri"/>
          <w:sz w:val="18"/>
          <w:szCs w:val="18"/>
          <w:color w:val="auto"/>
        </w:rPr>
      </w:pPr>
    </w:p>
    <w:p>
      <w:pPr>
        <w:ind w:left="1800" w:hanging="596"/>
        <w:spacing w:after="0" w:line="228" w:lineRule="auto"/>
        <w:tabs>
          <w:tab w:leader="none" w:pos="1800" w:val="left"/>
        </w:tabs>
        <w:numPr>
          <w:ilvl w:val="2"/>
          <w:numId w:val="171"/>
        </w:numPr>
        <w:rPr>
          <w:rFonts w:ascii="Calibri" w:cs="Calibri" w:eastAsia="Calibri" w:hAnsi="Calibri"/>
          <w:sz w:val="18"/>
          <w:szCs w:val="18"/>
          <w:color w:val="auto"/>
        </w:rPr>
      </w:pPr>
      <w:r>
        <w:rPr>
          <w:rFonts w:ascii="Calibri" w:cs="Calibri" w:eastAsia="Calibri" w:hAnsi="Calibri"/>
          <w:sz w:val="18"/>
          <w:szCs w:val="18"/>
          <w:color w:val="auto"/>
        </w:rPr>
        <w:t>is or becomes public informaton other than as a direct or indirect result of any breach by that Creditor Party of Clause 30; or</w:t>
      </w:r>
    </w:p>
    <w:p>
      <w:pPr>
        <w:spacing w:after="0" w:line="183" w:lineRule="exact"/>
        <w:rPr>
          <w:rFonts w:ascii="Calibri" w:cs="Calibri" w:eastAsia="Calibri" w:hAnsi="Calibri"/>
          <w:sz w:val="18"/>
          <w:szCs w:val="18"/>
          <w:color w:val="auto"/>
        </w:rPr>
      </w:pPr>
    </w:p>
    <w:p>
      <w:pPr>
        <w:ind w:left="1800" w:hanging="596"/>
        <w:spacing w:after="0"/>
        <w:tabs>
          <w:tab w:leader="none" w:pos="1800" w:val="left"/>
        </w:tabs>
        <w:numPr>
          <w:ilvl w:val="2"/>
          <w:numId w:val="171"/>
        </w:numPr>
        <w:rPr>
          <w:rFonts w:ascii="Calibri" w:cs="Calibri" w:eastAsia="Calibri" w:hAnsi="Calibri"/>
          <w:sz w:val="18"/>
          <w:szCs w:val="18"/>
          <w:color w:val="auto"/>
        </w:rPr>
      </w:pPr>
      <w:r>
        <w:rPr>
          <w:rFonts w:ascii="Calibri" w:cs="Calibri" w:eastAsia="Calibri" w:hAnsi="Calibri"/>
          <w:sz w:val="18"/>
          <w:szCs w:val="18"/>
          <w:color w:val="auto"/>
        </w:rPr>
        <w:t>is identfed in writng at the tme of delivery as non-confdental by any member of the Group or any of its advisers; or</w:t>
      </w:r>
    </w:p>
    <w:p>
      <w:pPr>
        <w:spacing w:after="0" w:line="381" w:lineRule="exact"/>
        <w:rPr>
          <w:rFonts w:ascii="Calibri" w:cs="Calibri" w:eastAsia="Calibri" w:hAnsi="Calibri"/>
          <w:sz w:val="18"/>
          <w:szCs w:val="18"/>
          <w:color w:val="auto"/>
        </w:rPr>
      </w:pPr>
    </w:p>
    <w:p>
      <w:pPr>
        <w:jc w:val="both"/>
        <w:ind w:left="1800" w:hanging="596"/>
        <w:spacing w:after="0" w:line="223" w:lineRule="auto"/>
        <w:tabs>
          <w:tab w:leader="none" w:pos="1800" w:val="left"/>
        </w:tabs>
        <w:numPr>
          <w:ilvl w:val="2"/>
          <w:numId w:val="171"/>
        </w:numPr>
        <w:rPr>
          <w:rFonts w:ascii="Calibri" w:cs="Calibri" w:eastAsia="Calibri" w:hAnsi="Calibri"/>
          <w:sz w:val="18"/>
          <w:szCs w:val="18"/>
          <w:color w:val="auto"/>
        </w:rPr>
      </w:pPr>
      <w:r>
        <w:rPr>
          <w:rFonts w:ascii="Calibri" w:cs="Calibri" w:eastAsia="Calibri" w:hAnsi="Calibri"/>
          <w:sz w:val="18"/>
          <w:szCs w:val="18"/>
          <w:color w:val="auto"/>
        </w:rPr>
        <w:t>is known by that Creditor Party before the date the informaton is disclosed to it in accordance with paragraphs (a) or (b) above or is lawfully obtained by that Creditor Party afer that date, from a source which is, as far as that Creditor Party is aware, unconnected with the Group and which, in either case, as far as that Creditor Party is aware, has not been obtained in breach of, and is not otherwise subject to, any obligaton of confdentality.</w:t>
      </w:r>
    </w:p>
    <w:p>
      <w:pPr>
        <w:spacing w:after="0" w:line="185"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7" w:right="339" w:bottom="1440" w:gutter="0" w:footer="0" w:header="0"/>
        </w:sectPr>
      </w:pPr>
    </w:p>
    <w:bookmarkStart w:id="149" w:name="page150"/>
    <w:bookmarkEnd w:id="149"/>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Confdentality Undertaking</w:t>
      </w:r>
      <w:r>
        <w:rPr>
          <w:rFonts w:ascii="Calibri" w:cs="Calibri" w:eastAsia="Calibri" w:hAnsi="Calibri"/>
          <w:sz w:val="18"/>
          <w:szCs w:val="18"/>
          <w:color w:val="auto"/>
        </w:rPr>
        <w:t>" means a confdentality undertaking in substantally the appropriate form recommended by the LMA from tme to tme or in any other form agreed between the Borrower and the Agent.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Contractual Currency</w:t>
      </w:r>
      <w:r>
        <w:rPr>
          <w:rFonts w:ascii="Calibri" w:cs="Calibri" w:eastAsia="Calibri" w:hAnsi="Calibri"/>
          <w:sz w:val="18"/>
          <w:szCs w:val="18"/>
          <w:color w:val="auto"/>
        </w:rPr>
        <w:t>" has the meaning given in Clause 21.6.</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Contributon</w:t>
      </w:r>
      <w:r>
        <w:rPr>
          <w:rFonts w:ascii="Calibri" w:cs="Calibri" w:eastAsia="Calibri" w:hAnsi="Calibri"/>
          <w:sz w:val="18"/>
          <w:szCs w:val="18"/>
          <w:color w:val="auto"/>
        </w:rPr>
        <w:t>" means, in relaton to a Lender, the part of the Loan which is owing to that Lender.</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Corporate Guarantee</w:t>
      </w:r>
      <w:r>
        <w:rPr>
          <w:rFonts w:ascii="Calibri" w:cs="Calibri" w:eastAsia="Calibri" w:hAnsi="Calibri"/>
          <w:sz w:val="18"/>
          <w:szCs w:val="18"/>
          <w:color w:val="auto"/>
        </w:rPr>
        <w:t>" means, in relaton to the Owner, a guarantee of the obligatons of the Borrower under this Agreement and the other Finance Documents executed or, as the context may require, to be executed by the Owner in the Agreed Form.</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Creditor Party</w:t>
      </w:r>
      <w:r>
        <w:rPr>
          <w:rFonts w:ascii="Calibri" w:cs="Calibri" w:eastAsia="Calibri" w:hAnsi="Calibri"/>
          <w:sz w:val="18"/>
          <w:szCs w:val="18"/>
          <w:color w:val="auto"/>
        </w:rPr>
        <w:t>" means the Agent, the Security Trustee, the Mandated Lead Arranger, any Lender, whether as at the date of this Agreement or at any later tme and, in the plural, means all of them.</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Cumulatve Compounded RFR Rate</w:t>
      </w:r>
      <w:r>
        <w:rPr>
          <w:rFonts w:ascii="Calibri" w:cs="Calibri" w:eastAsia="Calibri" w:hAnsi="Calibri"/>
          <w:sz w:val="18"/>
          <w:szCs w:val="18"/>
          <w:color w:val="auto"/>
        </w:rPr>
        <w:t>" means, in relaton to an Interest Period for the Loan or any part of the Loan, the percentage rate per annum determined by the Agent (or by any other Creditor Party which agrees to determine that rate in place of the Agent) in accordance with the methodology set out in Schedule 9 or in any relevant Compounding Methodology Supplement;</w:t>
      </w:r>
    </w:p>
    <w:p>
      <w:pPr>
        <w:spacing w:after="0" w:line="184"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Daily Non-Cumulatve Compounded RFR Rate</w:t>
      </w:r>
      <w:r>
        <w:rPr>
          <w:rFonts w:ascii="Calibri" w:cs="Calibri" w:eastAsia="Calibri" w:hAnsi="Calibri"/>
          <w:sz w:val="18"/>
          <w:szCs w:val="18"/>
          <w:color w:val="auto"/>
        </w:rPr>
        <w:t>" means, in relaton to any RFR Banking Day during an Interest Period for the Loan or any part of the Loan, the percentage rate per annum determined by the Agent (or by any other Creditor Party which agrees to determine that rate in place of the Agent) in accordance with the methodology set out in Schedule 8 or in any relevant Compounding Methodology Supplement;</w:t>
      </w:r>
    </w:p>
    <w:p>
      <w:pPr>
        <w:spacing w:after="0" w:line="34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Daily Rate</w:t>
      </w:r>
      <w:r>
        <w:rPr>
          <w:rFonts w:ascii="Calibri" w:cs="Calibri" w:eastAsia="Calibri" w:hAnsi="Calibri"/>
          <w:sz w:val="18"/>
          <w:szCs w:val="18"/>
          <w:color w:val="auto"/>
        </w:rPr>
        <w:t>" means the rate specifed as such in the Reference Rate Terms.</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Deed of Covenant</w:t>
      </w:r>
      <w:r>
        <w:rPr>
          <w:rFonts w:ascii="Calibri" w:cs="Calibri" w:eastAsia="Calibri" w:hAnsi="Calibri"/>
          <w:sz w:val="18"/>
          <w:szCs w:val="18"/>
          <w:color w:val="auto"/>
        </w:rPr>
        <w:t>" means if required by the laws of the Approved Flag State, a deed of covenant collateral to the Mortgage on the Ship and creatng charges over (</w:t>
      </w:r>
      <w:r>
        <w:rPr>
          <w:rFonts w:ascii="Calibri" w:cs="Calibri" w:eastAsia="Calibri" w:hAnsi="Calibri"/>
          <w:sz w:val="18"/>
          <w:szCs w:val="18"/>
          <w:i w:val="1"/>
          <w:iCs w:val="1"/>
          <w:color w:val="auto"/>
        </w:rPr>
        <w:t>inter alia</w:t>
      </w:r>
      <w:r>
        <w:rPr>
          <w:rFonts w:ascii="Calibri" w:cs="Calibri" w:eastAsia="Calibri" w:hAnsi="Calibri"/>
          <w:sz w:val="18"/>
          <w:szCs w:val="18"/>
          <w:color w:val="auto"/>
        </w:rPr>
        <w:t>) the Ship, her Earnings, her Insurances, any Requisiton Compensaton and the beneft of any warrantes of quality in favour of the Owner under the Shipbuilding Contract in the Agreed Form.</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Delivery Date</w:t>
      </w:r>
      <w:r>
        <w:rPr>
          <w:rFonts w:ascii="Calibri" w:cs="Calibri" w:eastAsia="Calibri" w:hAnsi="Calibri"/>
          <w:sz w:val="18"/>
          <w:szCs w:val="18"/>
          <w:color w:val="auto"/>
        </w:rPr>
        <w:t>" means the date on which the Ship is delivered by the Builder to the Owner under the Shipbuilding Contract.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Disrupton Event</w:t>
      </w:r>
      <w:r>
        <w:rPr>
          <w:rFonts w:ascii="Calibri" w:cs="Calibri" w:eastAsia="Calibri" w:hAnsi="Calibri"/>
          <w:sz w:val="18"/>
          <w:szCs w:val="18"/>
          <w:color w:val="auto"/>
        </w:rPr>
        <w:t>" means either or both of:</w:t>
      </w:r>
    </w:p>
    <w:p>
      <w:pPr>
        <w:spacing w:after="0" w:line="183" w:lineRule="exact"/>
        <w:rPr>
          <w:sz w:val="20"/>
          <w:szCs w:val="20"/>
          <w:color w:val="auto"/>
        </w:rPr>
      </w:pPr>
    </w:p>
    <w:p>
      <w:pPr>
        <w:jc w:val="both"/>
        <w:ind w:left="600" w:hanging="599"/>
        <w:spacing w:after="0" w:line="225" w:lineRule="auto"/>
        <w:tabs>
          <w:tab w:leader="none" w:pos="600" w:val="left"/>
        </w:tabs>
        <w:numPr>
          <w:ilvl w:val="0"/>
          <w:numId w:val="172"/>
        </w:numPr>
        <w:rPr>
          <w:rFonts w:ascii="Calibri" w:cs="Calibri" w:eastAsia="Calibri" w:hAnsi="Calibri"/>
          <w:sz w:val="18"/>
          <w:szCs w:val="18"/>
          <w:color w:val="auto"/>
        </w:rPr>
      </w:pPr>
      <w:r>
        <w:rPr>
          <w:rFonts w:ascii="Calibri" w:cs="Calibri" w:eastAsia="Calibri" w:hAnsi="Calibri"/>
          <w:sz w:val="18"/>
          <w:szCs w:val="18"/>
          <w:color w:val="auto"/>
        </w:rPr>
        <w:t>a material disrupton to those payment or communicatons systems or to those fnancial markets which are, in each case, required to operate in order for payments to be made in connecton with the Loan (or otherwise in order for the transactons contemplated by the Finance Documents to be carried out) which disrupton is not caused by, and is beyond the control of, any of the Partes;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72"/>
        </w:numPr>
        <w:rPr>
          <w:rFonts w:ascii="Calibri" w:cs="Calibri" w:eastAsia="Calibri" w:hAnsi="Calibri"/>
          <w:sz w:val="18"/>
          <w:szCs w:val="18"/>
          <w:color w:val="auto"/>
        </w:rPr>
      </w:pPr>
      <w:r>
        <w:rPr>
          <w:rFonts w:ascii="Calibri" w:cs="Calibri" w:eastAsia="Calibri" w:hAnsi="Calibri"/>
          <w:sz w:val="18"/>
          <w:szCs w:val="18"/>
          <w:color w:val="auto"/>
        </w:rPr>
        <w:t>the occurrence of any other event which results in a disrupton (of a technical or systems-related nature) to the treasury or payments operatons of a Party preventng that, or any other, Party:</w:t>
      </w:r>
    </w:p>
    <w:p>
      <w:pPr>
        <w:spacing w:after="0" w:line="182" w:lineRule="exact"/>
        <w:rPr>
          <w:sz w:val="20"/>
          <w:szCs w:val="20"/>
          <w:color w:val="auto"/>
        </w:rPr>
      </w:pPr>
    </w:p>
    <w:p>
      <w:pPr>
        <w:ind w:left="1200" w:hanging="597"/>
        <w:spacing w:after="0"/>
        <w:tabs>
          <w:tab w:leader="none" w:pos="1200" w:val="left"/>
        </w:tabs>
        <w:numPr>
          <w:ilvl w:val="0"/>
          <w:numId w:val="173"/>
        </w:numPr>
        <w:rPr>
          <w:rFonts w:ascii="Calibri" w:cs="Calibri" w:eastAsia="Calibri" w:hAnsi="Calibri"/>
          <w:sz w:val="18"/>
          <w:szCs w:val="18"/>
          <w:color w:val="auto"/>
        </w:rPr>
      </w:pPr>
      <w:r>
        <w:rPr>
          <w:rFonts w:ascii="Calibri" w:cs="Calibri" w:eastAsia="Calibri" w:hAnsi="Calibri"/>
          <w:sz w:val="18"/>
          <w:szCs w:val="18"/>
          <w:color w:val="auto"/>
        </w:rPr>
        <w:t>from performing its payment obligatons under the Finance Documents; or</w:t>
      </w:r>
    </w:p>
    <w:p>
      <w:pPr>
        <w:spacing w:after="0" w:line="182"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50" w:name="page151"/>
    <w:bookmarkEnd w:id="150"/>
    <w:p>
      <w:pPr>
        <w:ind w:left="1200" w:hanging="597"/>
        <w:spacing w:after="0"/>
        <w:tabs>
          <w:tab w:leader="none" w:pos="1200" w:val="left"/>
        </w:tabs>
        <w:numPr>
          <w:ilvl w:val="0"/>
          <w:numId w:val="174"/>
        </w:numPr>
        <w:rPr>
          <w:rFonts w:ascii="Calibri" w:cs="Calibri" w:eastAsia="Calibri" w:hAnsi="Calibri"/>
          <w:sz w:val="18"/>
          <w:szCs w:val="18"/>
          <w:color w:val="auto"/>
        </w:rPr>
      </w:pPr>
      <w:r>
        <w:rPr>
          <w:rFonts w:ascii="Calibri" w:cs="Calibri" w:eastAsia="Calibri" w:hAnsi="Calibri"/>
          <w:sz w:val="18"/>
          <w:szCs w:val="18"/>
          <w:color w:val="auto"/>
        </w:rPr>
        <w:t>from communicatng with other Partes in accordance with the terms of the Finance Documents,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and which (in either such case) is not caused by, and is beyond the control of, the Party whose operatons are disrupted.</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Dollars</w:t>
      </w:r>
      <w:r>
        <w:rPr>
          <w:rFonts w:ascii="Calibri" w:cs="Calibri" w:eastAsia="Calibri" w:hAnsi="Calibri"/>
          <w:sz w:val="18"/>
          <w:szCs w:val="18"/>
          <w:color w:val="auto"/>
        </w:rPr>
        <w:t>" and "</w:t>
      </w:r>
      <w:r>
        <w:rPr>
          <w:rFonts w:ascii="Calibri" w:cs="Calibri" w:eastAsia="Calibri" w:hAnsi="Calibri"/>
          <w:sz w:val="18"/>
          <w:szCs w:val="18"/>
          <w:b w:val="1"/>
          <w:bCs w:val="1"/>
          <w:color w:val="auto"/>
        </w:rPr>
        <w:t>$</w:t>
      </w:r>
      <w:r>
        <w:rPr>
          <w:rFonts w:ascii="Calibri" w:cs="Calibri" w:eastAsia="Calibri" w:hAnsi="Calibri"/>
          <w:sz w:val="18"/>
          <w:szCs w:val="18"/>
          <w:color w:val="auto"/>
        </w:rPr>
        <w:t>" means the lawful currency for the tme being of the United States of America.</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Drawdown Date</w:t>
      </w:r>
      <w:r>
        <w:rPr>
          <w:rFonts w:ascii="Calibri" w:cs="Calibri" w:eastAsia="Calibri" w:hAnsi="Calibri"/>
          <w:sz w:val="18"/>
          <w:szCs w:val="18"/>
          <w:color w:val="auto"/>
        </w:rPr>
        <w:t>" means, the date requested by the Borrower for the Loan to be borrowed, or (as the context requires) the date on which the Loan is actually borrowed.</w:t>
      </w:r>
    </w:p>
    <w:p>
      <w:pPr>
        <w:spacing w:after="0" w:line="184"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Drawdown Notce</w:t>
      </w:r>
      <w:r>
        <w:rPr>
          <w:rFonts w:ascii="Calibri" w:cs="Calibri" w:eastAsia="Calibri" w:hAnsi="Calibri"/>
          <w:sz w:val="18"/>
          <w:szCs w:val="18"/>
          <w:color w:val="auto"/>
        </w:rPr>
        <w:t>" means a notce in the form set out in Schedule 2 (or in any other form which the Agent approves or reasonably requires).</w:t>
      </w:r>
    </w:p>
    <w:p>
      <w:pPr>
        <w:spacing w:after="0" w:line="379"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EEA Member Country</w:t>
      </w:r>
      <w:r>
        <w:rPr>
          <w:rFonts w:ascii="Calibri" w:cs="Calibri" w:eastAsia="Calibri" w:hAnsi="Calibri"/>
          <w:sz w:val="18"/>
          <w:szCs w:val="18"/>
          <w:color w:val="auto"/>
        </w:rPr>
        <w:t>" means any member state of the European Union, Iceland, Liechtenstein and Norway.</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Earnings</w:t>
      </w:r>
      <w:r>
        <w:rPr>
          <w:rFonts w:ascii="Calibri" w:cs="Calibri" w:eastAsia="Calibri" w:hAnsi="Calibri"/>
          <w:sz w:val="18"/>
          <w:szCs w:val="18"/>
          <w:color w:val="auto"/>
        </w:rPr>
        <w:t>" means all moneys whatsoever which are now, or later become, payable (actually or contngently) to the Owner or the Security Trustee and which arise out of the use or operaton of the Ship, including (but not limited to):</w:t>
      </w:r>
    </w:p>
    <w:p>
      <w:pPr>
        <w:spacing w:after="0" w:line="182" w:lineRule="exact"/>
        <w:rPr>
          <w:sz w:val="20"/>
          <w:szCs w:val="20"/>
          <w:color w:val="auto"/>
        </w:rPr>
      </w:pPr>
    </w:p>
    <w:p>
      <w:pPr>
        <w:ind w:left="600" w:hanging="599"/>
        <w:spacing w:after="0"/>
        <w:tabs>
          <w:tab w:leader="none" w:pos="600" w:val="left"/>
        </w:tabs>
        <w:numPr>
          <w:ilvl w:val="0"/>
          <w:numId w:val="175"/>
        </w:numPr>
        <w:rPr>
          <w:rFonts w:ascii="Calibri" w:cs="Calibri" w:eastAsia="Calibri" w:hAnsi="Calibri"/>
          <w:sz w:val="18"/>
          <w:szCs w:val="18"/>
          <w:color w:val="auto"/>
        </w:rPr>
      </w:pPr>
      <w:r>
        <w:rPr>
          <w:rFonts w:ascii="Calibri" w:cs="Calibri" w:eastAsia="Calibri" w:hAnsi="Calibri"/>
          <w:sz w:val="18"/>
          <w:szCs w:val="18"/>
          <w:color w:val="auto"/>
        </w:rPr>
        <w:t>except to the extent that they fall within paragraph (b):</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all freight, hire and passage moneys;</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compensaton payable to the Owner or the Security Trustee in the event of requisiton of the Ship for hire;</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remuneraton for salvage and towage services;</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demurrage and detenton moneys;</w:t>
      </w:r>
    </w:p>
    <w:p>
      <w:pPr>
        <w:spacing w:after="0" w:line="183" w:lineRule="exact"/>
        <w:rPr>
          <w:rFonts w:ascii="Calibri" w:cs="Calibri" w:eastAsia="Calibri" w:hAnsi="Calibri"/>
          <w:sz w:val="18"/>
          <w:szCs w:val="18"/>
          <w:color w:val="auto"/>
        </w:rPr>
      </w:pPr>
    </w:p>
    <w:p>
      <w:pPr>
        <w:ind w:left="1200" w:hanging="597"/>
        <w:spacing w:after="0" w:line="228" w:lineRule="auto"/>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damages for breach (or payments for variaton or terminaton) of any charterparty or other contract for the employment of the Ship; and</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all moneys which are at any tme payable under any Insurances in respect of loss of hire; and</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175"/>
        </w:numPr>
        <w:rPr>
          <w:rFonts w:ascii="Calibri" w:cs="Calibri" w:eastAsia="Calibri" w:hAnsi="Calibri"/>
          <w:sz w:val="18"/>
          <w:szCs w:val="18"/>
          <w:color w:val="auto"/>
        </w:rPr>
      </w:pPr>
      <w:r>
        <w:rPr>
          <w:rFonts w:ascii="Calibri" w:cs="Calibri" w:eastAsia="Calibri" w:hAnsi="Calibri"/>
          <w:sz w:val="18"/>
          <w:szCs w:val="18"/>
          <w:color w:val="auto"/>
        </w:rPr>
        <w:t>if and whenever the Ship is employed on terms whereby any moneys falling within paragraphs (a)(i) to (vi) are pooled or shared with any other person, that proporton of the net receipts of the relevant pooling or sharing arrangement which is atributable to the Ship.</w:t>
      </w:r>
    </w:p>
    <w:p>
      <w:pPr>
        <w:spacing w:after="0" w:line="362"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Earnings Account</w:t>
      </w:r>
      <w:r>
        <w:rPr>
          <w:rFonts w:ascii="Calibri" w:cs="Calibri" w:eastAsia="Calibri" w:hAnsi="Calibri"/>
          <w:sz w:val="18"/>
          <w:szCs w:val="18"/>
          <w:color w:val="auto"/>
        </w:rPr>
        <w:t>" means an account in the name of the Owner with the Agent in Hamburg designated "Panormos Container Carrier S.A. - Earnings Account" or any other account (with that or another ofce of the Agent) which replaces such account and is designated by the Agent as the Earnings Account for the purposes of this Agreement.</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EBITDA</w:t>
      </w:r>
      <w:r>
        <w:rPr>
          <w:rFonts w:ascii="Calibri" w:cs="Calibri" w:eastAsia="Calibri" w:hAnsi="Calibri"/>
          <w:sz w:val="18"/>
          <w:szCs w:val="18"/>
          <w:color w:val="auto"/>
        </w:rPr>
        <w:t>" means, in respect of any relevant period, the aggregate amount of consolidated or combined pre-tax profts of the Group before extraordinary or exceptonal items, depreciaton, interest, repayment of principal in respect of any loan, rentals under fnance leases and similar charges payable.</w:t>
      </w:r>
    </w:p>
    <w:p>
      <w:pPr>
        <w:spacing w:after="0" w:line="183"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7" w:right="339" w:bottom="1440" w:gutter="0" w:footer="0" w:header="0"/>
        </w:sectPr>
      </w:pPr>
    </w:p>
    <w:bookmarkStart w:id="151" w:name="page152"/>
    <w:bookmarkEnd w:id="151"/>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Environmental Claim</w:t>
      </w:r>
      <w:r>
        <w:rPr>
          <w:rFonts w:ascii="Calibri" w:cs="Calibri" w:eastAsia="Calibri" w:hAnsi="Calibri"/>
          <w:sz w:val="18"/>
          <w:szCs w:val="18"/>
          <w:color w:val="auto"/>
        </w:rPr>
        <w:t>" means:</w:t>
      </w:r>
    </w:p>
    <w:p>
      <w:pPr>
        <w:spacing w:after="0" w:line="183" w:lineRule="exact"/>
        <w:rPr>
          <w:sz w:val="20"/>
          <w:szCs w:val="20"/>
          <w:color w:val="auto"/>
        </w:rPr>
      </w:pPr>
    </w:p>
    <w:p>
      <w:pPr>
        <w:ind w:left="600" w:hanging="599"/>
        <w:spacing w:after="0" w:line="228" w:lineRule="auto"/>
        <w:tabs>
          <w:tab w:leader="none" w:pos="600" w:val="left"/>
        </w:tabs>
        <w:numPr>
          <w:ilvl w:val="0"/>
          <w:numId w:val="176"/>
        </w:numPr>
        <w:rPr>
          <w:rFonts w:ascii="Calibri" w:cs="Calibri" w:eastAsia="Calibri" w:hAnsi="Calibri"/>
          <w:sz w:val="18"/>
          <w:szCs w:val="18"/>
          <w:color w:val="auto"/>
        </w:rPr>
      </w:pPr>
      <w:r>
        <w:rPr>
          <w:rFonts w:ascii="Calibri" w:cs="Calibri" w:eastAsia="Calibri" w:hAnsi="Calibri"/>
          <w:sz w:val="18"/>
          <w:szCs w:val="18"/>
          <w:color w:val="auto"/>
        </w:rPr>
        <w:t>any claim by any governmental, judicial or regulatory authority which arises out of an Environmental Incident or an alleged Environmental Incident or which relates to any Environmental Law; 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76"/>
        </w:numPr>
        <w:rPr>
          <w:rFonts w:ascii="Calibri" w:cs="Calibri" w:eastAsia="Calibri" w:hAnsi="Calibri"/>
          <w:sz w:val="18"/>
          <w:szCs w:val="18"/>
          <w:color w:val="auto"/>
        </w:rPr>
      </w:pPr>
      <w:r>
        <w:rPr>
          <w:rFonts w:ascii="Calibri" w:cs="Calibri" w:eastAsia="Calibri" w:hAnsi="Calibri"/>
          <w:sz w:val="18"/>
          <w:szCs w:val="18"/>
          <w:color w:val="auto"/>
        </w:rPr>
        <w:t>any claim by any other person which relates to an Environmental Incident or to an alleged Environmental Incident,</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and "</w:t>
      </w:r>
      <w:r>
        <w:rPr>
          <w:rFonts w:ascii="Calibri" w:cs="Calibri" w:eastAsia="Calibri" w:hAnsi="Calibri"/>
          <w:sz w:val="18"/>
          <w:szCs w:val="18"/>
          <w:b w:val="1"/>
          <w:bCs w:val="1"/>
          <w:color w:val="auto"/>
        </w:rPr>
        <w:t>claim</w:t>
      </w:r>
      <w:r>
        <w:rPr>
          <w:rFonts w:ascii="Calibri" w:cs="Calibri" w:eastAsia="Calibri" w:hAnsi="Calibri"/>
          <w:sz w:val="18"/>
          <w:szCs w:val="18"/>
          <w:color w:val="auto"/>
        </w:rPr>
        <w:t>" means a claim for damages, compensaton, fnes, penaltes or any other payment of any kind whether or not similar to the foregoing; an order or directon to take, or not to take, certain acton or to desist from or suspend certain acton; and any form of enforcement or regulatory acton, including the arrest or atachment of any asset.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Environmental Incident</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177"/>
        </w:numPr>
        <w:rPr>
          <w:rFonts w:ascii="Calibri" w:cs="Calibri" w:eastAsia="Calibri" w:hAnsi="Calibri"/>
          <w:sz w:val="18"/>
          <w:szCs w:val="18"/>
          <w:color w:val="auto"/>
        </w:rPr>
      </w:pPr>
      <w:r>
        <w:rPr>
          <w:rFonts w:ascii="Calibri" w:cs="Calibri" w:eastAsia="Calibri" w:hAnsi="Calibri"/>
          <w:sz w:val="18"/>
          <w:szCs w:val="18"/>
          <w:color w:val="auto"/>
        </w:rPr>
        <w:t>any release of Environmentally Sensitve Material from the Ship; or</w:t>
      </w:r>
    </w:p>
    <w:p>
      <w:pPr>
        <w:spacing w:after="0" w:line="183" w:lineRule="exact"/>
        <w:rPr>
          <w:rFonts w:ascii="Calibri" w:cs="Calibri" w:eastAsia="Calibri" w:hAnsi="Calibri"/>
          <w:sz w:val="18"/>
          <w:szCs w:val="18"/>
          <w:color w:val="auto"/>
        </w:rPr>
      </w:pPr>
    </w:p>
    <w:p>
      <w:pPr>
        <w:jc w:val="both"/>
        <w:ind w:left="600" w:hanging="599"/>
        <w:spacing w:after="0" w:line="223" w:lineRule="auto"/>
        <w:tabs>
          <w:tab w:leader="none" w:pos="600" w:val="left"/>
        </w:tabs>
        <w:numPr>
          <w:ilvl w:val="0"/>
          <w:numId w:val="177"/>
        </w:numPr>
        <w:rPr>
          <w:rFonts w:ascii="Calibri" w:cs="Calibri" w:eastAsia="Calibri" w:hAnsi="Calibri"/>
          <w:sz w:val="18"/>
          <w:szCs w:val="18"/>
          <w:color w:val="auto"/>
        </w:rPr>
      </w:pPr>
      <w:r>
        <w:rPr>
          <w:rFonts w:ascii="Calibri" w:cs="Calibri" w:eastAsia="Calibri" w:hAnsi="Calibri"/>
          <w:sz w:val="18"/>
          <w:szCs w:val="18"/>
          <w:color w:val="auto"/>
        </w:rPr>
        <w:t>any incident in which Environmentally Sensitve Material is released from a vessel other than the Ship and which involves a collision between the Ship and such other vessel or some other incident of navigaton or operaton, in either case, in connecton with which the Ship is actually to be arrested, atached, detained or injuncted and/or the Ship and/or the Owner which is the owner thereof and/or any operator or manager of the Ship is at fault or otherwise liable to any legal or administratve acton; or</w:t>
      </w:r>
    </w:p>
    <w:p>
      <w:pPr>
        <w:spacing w:after="0" w:line="185"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77"/>
        </w:numPr>
        <w:rPr>
          <w:rFonts w:ascii="Calibri" w:cs="Calibri" w:eastAsia="Calibri" w:hAnsi="Calibri"/>
          <w:sz w:val="18"/>
          <w:szCs w:val="18"/>
          <w:color w:val="auto"/>
        </w:rPr>
      </w:pPr>
      <w:r>
        <w:rPr>
          <w:rFonts w:ascii="Calibri" w:cs="Calibri" w:eastAsia="Calibri" w:hAnsi="Calibri"/>
          <w:sz w:val="18"/>
          <w:szCs w:val="18"/>
          <w:color w:val="auto"/>
        </w:rPr>
        <w:t>any other incident in which Environmentally Sensitve Material is released otherwise than from the Ship and in connecton with which the Ship is actually or potentally liable to be arrested and/or where the Owner which is the owner thereof and/or any operator or manager of the Ship is at fault or otherwise liable to any legal or administratve acton.</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Environmental Law</w:t>
      </w:r>
      <w:r>
        <w:rPr>
          <w:rFonts w:ascii="Calibri" w:cs="Calibri" w:eastAsia="Calibri" w:hAnsi="Calibri"/>
          <w:sz w:val="18"/>
          <w:szCs w:val="18"/>
          <w:color w:val="auto"/>
        </w:rPr>
        <w:t>" means any law, regulaton, conventon and agreement relatng to polluton or protecton of the environment, to the carriage of Environmentally Sensitve Material or to actual or threatened releases of Environmentally Sensitve Material.</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Environmentally Sensitve Material</w:t>
      </w:r>
      <w:r>
        <w:rPr>
          <w:rFonts w:ascii="Calibri" w:cs="Calibri" w:eastAsia="Calibri" w:hAnsi="Calibri"/>
          <w:sz w:val="18"/>
          <w:szCs w:val="18"/>
          <w:color w:val="auto"/>
        </w:rPr>
        <w:t>" means oil, oil products and any other substance (including any chemical, gas or other hazardous or noxious substance) which is (or is capable of being or becoming) pollutng, toxic or hazardous.</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EU Bail-In Legislaton Schedule</w:t>
      </w:r>
      <w:r>
        <w:rPr>
          <w:rFonts w:ascii="Calibri" w:cs="Calibri" w:eastAsia="Calibri" w:hAnsi="Calibri"/>
          <w:sz w:val="18"/>
          <w:szCs w:val="18"/>
          <w:color w:val="auto"/>
        </w:rPr>
        <w:t>" means the document described as such and published by the Loan Market Associaton (or any successor person) from tme to tme.</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Event of Default</w:t>
      </w:r>
      <w:r>
        <w:rPr>
          <w:rFonts w:ascii="Calibri" w:cs="Calibri" w:eastAsia="Calibri" w:hAnsi="Calibri"/>
          <w:sz w:val="18"/>
          <w:szCs w:val="18"/>
          <w:color w:val="auto"/>
        </w:rPr>
        <w:t>" means any of the events or circumstances described in Clause 19.1.</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FATCA</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178"/>
        </w:numPr>
        <w:rPr>
          <w:rFonts w:ascii="Calibri" w:cs="Calibri" w:eastAsia="Calibri" w:hAnsi="Calibri"/>
          <w:sz w:val="18"/>
          <w:szCs w:val="18"/>
          <w:color w:val="auto"/>
        </w:rPr>
      </w:pPr>
      <w:r>
        <w:rPr>
          <w:rFonts w:ascii="Calibri" w:cs="Calibri" w:eastAsia="Calibri" w:hAnsi="Calibri"/>
          <w:sz w:val="18"/>
          <w:szCs w:val="18"/>
          <w:color w:val="auto"/>
        </w:rPr>
        <w:t>sectons 1471 to 1474 of the Code or any associated regulatons;</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78"/>
        </w:numPr>
        <w:rPr>
          <w:rFonts w:ascii="Calibri" w:cs="Calibri" w:eastAsia="Calibri" w:hAnsi="Calibri"/>
          <w:sz w:val="18"/>
          <w:szCs w:val="18"/>
          <w:color w:val="auto"/>
        </w:rPr>
      </w:pPr>
      <w:r>
        <w:rPr>
          <w:rFonts w:ascii="Calibri" w:cs="Calibri" w:eastAsia="Calibri" w:hAnsi="Calibri"/>
          <w:sz w:val="18"/>
          <w:szCs w:val="18"/>
          <w:color w:val="auto"/>
        </w:rPr>
        <w:t>any treaty, law or regulaton of any other jurisdicton, or relatng to an intergovernmental agreement between the US and any other jurisdicton, which (in either case) facilitates the implementaton of any law or regulaton referred to in paragraph (a) above; or</w:t>
      </w:r>
    </w:p>
    <w:p>
      <w:pPr>
        <w:spacing w:after="0" w:line="183" w:lineRule="exact"/>
        <w:rPr>
          <w:sz w:val="20"/>
          <w:szCs w:val="20"/>
          <w:color w:val="auto"/>
        </w:rPr>
      </w:pPr>
    </w:p>
    <w:p>
      <w:pPr>
        <w:jc w:val="both"/>
        <w:ind w:left="4980"/>
        <w:spacing w:after="0"/>
        <w:tabs>
          <w:tab w:leader="none" w:pos="932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7" w:right="339" w:bottom="1440" w:gutter="0" w:footer="0" w:header="0"/>
        </w:sectPr>
      </w:pPr>
    </w:p>
    <w:bookmarkStart w:id="152" w:name="page153"/>
    <w:bookmarkEnd w:id="152"/>
    <w:p>
      <w:pPr>
        <w:ind w:left="600" w:hanging="599"/>
        <w:spacing w:after="0" w:line="228" w:lineRule="auto"/>
        <w:tabs>
          <w:tab w:leader="none" w:pos="600" w:val="left"/>
        </w:tabs>
        <w:numPr>
          <w:ilvl w:val="0"/>
          <w:numId w:val="179"/>
        </w:numPr>
        <w:rPr>
          <w:rFonts w:ascii="Calibri" w:cs="Calibri" w:eastAsia="Calibri" w:hAnsi="Calibri"/>
          <w:sz w:val="18"/>
          <w:szCs w:val="18"/>
          <w:color w:val="auto"/>
        </w:rPr>
      </w:pPr>
      <w:r>
        <w:rPr>
          <w:rFonts w:ascii="Calibri" w:cs="Calibri" w:eastAsia="Calibri" w:hAnsi="Calibri"/>
          <w:sz w:val="18"/>
          <w:szCs w:val="18"/>
          <w:color w:val="auto"/>
        </w:rPr>
        <w:t>any agreement pursuant to the implementaton of any treaty, law or regulaton referred to in paragraphs (a) or (b) above with the US Internal Revenue Service, the US government or any governmental or taxaton authority in any other jurisdicton.</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FATCA Deducton</w:t>
      </w:r>
      <w:r>
        <w:rPr>
          <w:rFonts w:ascii="Calibri" w:cs="Calibri" w:eastAsia="Calibri" w:hAnsi="Calibri"/>
          <w:sz w:val="18"/>
          <w:szCs w:val="18"/>
          <w:color w:val="auto"/>
        </w:rPr>
        <w:t>" means a deducton or withholding from a payment under a Finance Document required by FATCA.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FATCA Exempt Party</w:t>
      </w:r>
      <w:r>
        <w:rPr>
          <w:rFonts w:ascii="Calibri" w:cs="Calibri" w:eastAsia="Calibri" w:hAnsi="Calibri"/>
          <w:sz w:val="18"/>
          <w:szCs w:val="18"/>
          <w:color w:val="auto"/>
        </w:rPr>
        <w:t>" means a Party that is enttled to receive payments free from any FATCA Deducton.</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Fee Leter</w:t>
      </w:r>
      <w:r>
        <w:rPr>
          <w:rFonts w:ascii="Calibri" w:cs="Calibri" w:eastAsia="Calibri" w:hAnsi="Calibri"/>
          <w:sz w:val="18"/>
          <w:szCs w:val="18"/>
          <w:color w:val="auto"/>
        </w:rPr>
        <w:t>" means any leter or leters dated on or about the date of this Agreement between the Creditor Partes (or any of them) and the Borrower setng out any of the fees referred to in Clause 20.</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Final Repayment Date</w:t>
      </w:r>
      <w:r>
        <w:rPr>
          <w:rFonts w:ascii="Calibri" w:cs="Calibri" w:eastAsia="Calibri" w:hAnsi="Calibri"/>
          <w:sz w:val="18"/>
          <w:szCs w:val="18"/>
          <w:color w:val="auto"/>
        </w:rPr>
        <w:t>" means the date falling on the earlier of (i) the date falling on the sixth anniversary of the Drawdown Date and (ii) 1 December 2028.</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Finance Documents</w:t>
      </w:r>
      <w:r>
        <w:rPr>
          <w:rFonts w:ascii="Calibri" w:cs="Calibri" w:eastAsia="Calibri" w:hAnsi="Calibri"/>
          <w:sz w:val="18"/>
          <w:szCs w:val="18"/>
          <w:color w:val="auto"/>
        </w:rPr>
        <w:t>" means together:</w:t>
      </w:r>
    </w:p>
    <w:p>
      <w:pPr>
        <w:spacing w:after="0" w:line="181" w:lineRule="exact"/>
        <w:rPr>
          <w:sz w:val="20"/>
          <w:szCs w:val="20"/>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this Agreement;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Side Leter;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Agency and Trust Deed;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Account Pledges;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Corporate Guarantee;</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Subordinaton Agreement;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Subordinated Debt Security;</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Mortgage;</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General Assignment;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Deed of Covenant;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the Charterparty Assignment;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Bareboat Charter Security Agreement;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Approved Manager's Undertaking;</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Reference Rate Supplement;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Compounding Methodology Supplement;</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180"/>
        </w:numPr>
        <w:rPr>
          <w:rFonts w:ascii="Calibri" w:cs="Calibri" w:eastAsia="Calibri" w:hAnsi="Calibri"/>
          <w:sz w:val="18"/>
          <w:szCs w:val="18"/>
          <w:color w:val="auto"/>
        </w:rPr>
      </w:pPr>
      <w:r>
        <w:rPr>
          <w:rFonts w:ascii="Calibri" w:cs="Calibri" w:eastAsia="Calibri" w:hAnsi="Calibri"/>
          <w:sz w:val="18"/>
          <w:szCs w:val="18"/>
          <w:color w:val="auto"/>
        </w:rPr>
        <w:t>any other document (whether creatng a Security Interest or not) which is executed at any tme by the Borrower, the Owner, any Approved Manager or any other person as security for, or to establish any form of subordinaton or priorites arrangement in relaton to, any amount payable to the Lenders under this Agreement or any of the other documents referred to in this defniton; and</w:t>
      </w:r>
    </w:p>
    <w:p>
      <w:pPr>
        <w:spacing w:after="0" w:line="342"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30" w:right="339" w:bottom="1440" w:gutter="0" w:footer="0" w:header="0"/>
        </w:sectPr>
      </w:pPr>
    </w:p>
    <w:bookmarkStart w:id="153" w:name="page154"/>
    <w:bookmarkEnd w:id="153"/>
    <w:p>
      <w:pPr>
        <w:ind w:right="4580" w:firstLine="1"/>
        <w:spacing w:after="0" w:line="435" w:lineRule="auto"/>
        <w:tabs>
          <w:tab w:leader="none" w:pos="610" w:val="left"/>
        </w:tabs>
        <w:numPr>
          <w:ilvl w:val="0"/>
          <w:numId w:val="181"/>
        </w:numPr>
        <w:rPr>
          <w:rFonts w:ascii="Calibri" w:cs="Calibri" w:eastAsia="Calibri" w:hAnsi="Calibri"/>
          <w:sz w:val="18"/>
          <w:szCs w:val="18"/>
          <w:color w:val="auto"/>
        </w:rPr>
      </w:pPr>
      <w:r>
        <w:rPr>
          <w:rFonts w:ascii="Calibri" w:cs="Calibri" w:eastAsia="Calibri" w:hAnsi="Calibri"/>
          <w:sz w:val="18"/>
          <w:szCs w:val="18"/>
          <w:color w:val="auto"/>
        </w:rPr>
        <w:t>any other document designated as such by the Agent and the Borrower, and, in the singular, means any of them.</w:t>
      </w:r>
    </w:p>
    <w:p>
      <w:pPr>
        <w:spacing w:after="0" w:line="3"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Financial Indebtedness</w:t>
      </w:r>
      <w:r>
        <w:rPr>
          <w:rFonts w:ascii="Calibri" w:cs="Calibri" w:eastAsia="Calibri" w:hAnsi="Calibri"/>
          <w:sz w:val="18"/>
          <w:szCs w:val="18"/>
          <w:color w:val="auto"/>
        </w:rPr>
        <w:t>" means, in relaton to a person (the "debtor"), any actual or contngent liability of the debtor:</w:t>
      </w:r>
    </w:p>
    <w:p>
      <w:pPr>
        <w:spacing w:after="0" w:line="181" w:lineRule="exact"/>
        <w:rPr>
          <w:sz w:val="20"/>
          <w:szCs w:val="20"/>
          <w:color w:val="auto"/>
        </w:rPr>
      </w:pPr>
    </w:p>
    <w:p>
      <w:pPr>
        <w:ind w:left="600" w:hanging="599"/>
        <w:spacing w:after="0"/>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for principal, interest or any other sum payable in respect of any moneys borrowed or raised by the debtor;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any loan stock, bond, note or other security issued by the debtor;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any acceptance credit, guarantee or leter of credit facility made available to the debtor;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a fnancial lease, a deferred purchase consideraton arrangement or any other agreement having the commercial efect of a borrowing or raising of money by the debtor;</w:t>
      </w:r>
    </w:p>
    <w:p>
      <w:pPr>
        <w:spacing w:after="0" w:line="183"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any foreign exchange transacton, any interest or currency swap, exchange or any other kind of derivatve transacton entered into by the debtor or, if the agreement under which any such transacton is entered into requires netng of mutual liabilites, the liability of the debtor for the net amount;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receivables sold or discounted (other than any receivables to the extent that they are sold on a non-recourse basis);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under a guarantee, indemnity or similar obligaton entered into by the debtor in respect of a liability of another person which would fall within (a) to (f) if the references to the debtor referred to the other person.</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Financial Year</w:t>
      </w:r>
      <w:r>
        <w:rPr>
          <w:rFonts w:ascii="Calibri" w:cs="Calibri" w:eastAsia="Calibri" w:hAnsi="Calibri"/>
          <w:sz w:val="18"/>
          <w:szCs w:val="18"/>
          <w:color w:val="auto"/>
        </w:rPr>
        <w:t>" means, in relaton to the Borrower, the Owner and the Group, each period of one year commencing on 1 January in respect of which its individual or, as the case may be, consolidated accounts are or ought to be prepared.</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Fleet Vessels</w:t>
      </w:r>
      <w:r>
        <w:rPr>
          <w:rFonts w:ascii="Calibri" w:cs="Calibri" w:eastAsia="Calibri" w:hAnsi="Calibri"/>
          <w:sz w:val="18"/>
          <w:szCs w:val="18"/>
          <w:color w:val="auto"/>
        </w:rPr>
        <w:t>" means all of the vessels (including, but not limited to, the Ship) from tme to tme wholly owned by members of the Group (each a "</w:t>
      </w:r>
      <w:r>
        <w:rPr>
          <w:rFonts w:ascii="Calibri" w:cs="Calibri" w:eastAsia="Calibri" w:hAnsi="Calibri"/>
          <w:sz w:val="18"/>
          <w:szCs w:val="18"/>
          <w:b w:val="1"/>
          <w:bCs w:val="1"/>
          <w:color w:val="auto"/>
        </w:rPr>
        <w:t>Fleet Vessel</w:t>
      </w:r>
      <w:r>
        <w:rPr>
          <w:rFonts w:ascii="Calibri" w:cs="Calibri" w:eastAsia="Calibri" w:hAnsi="Calibri"/>
          <w:sz w:val="18"/>
          <w:szCs w:val="18"/>
          <w:color w:val="auto"/>
        </w:rPr>
        <w: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GAAP</w:t>
      </w:r>
      <w:r>
        <w:rPr>
          <w:rFonts w:ascii="Calibri" w:cs="Calibri" w:eastAsia="Calibri" w:hAnsi="Calibri"/>
          <w:sz w:val="18"/>
          <w:szCs w:val="18"/>
          <w:color w:val="auto"/>
        </w:rPr>
        <w:t>" means generally accepted accountng principles as from tme to tme in efect in the US including IFRS.</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General Assignment</w:t>
      </w:r>
      <w:r>
        <w:rPr>
          <w:rFonts w:ascii="Calibri" w:cs="Calibri" w:eastAsia="Calibri" w:hAnsi="Calibri"/>
          <w:sz w:val="18"/>
          <w:szCs w:val="18"/>
          <w:color w:val="auto"/>
        </w:rPr>
        <w:t>" means a general assignment of (</w:t>
      </w:r>
      <w:r>
        <w:rPr>
          <w:rFonts w:ascii="Calibri" w:cs="Calibri" w:eastAsia="Calibri" w:hAnsi="Calibri"/>
          <w:sz w:val="18"/>
          <w:szCs w:val="18"/>
          <w:i w:val="1"/>
          <w:iCs w:val="1"/>
          <w:color w:val="auto"/>
        </w:rPr>
        <w:t>inter alia</w:t>
      </w:r>
      <w:r>
        <w:rPr>
          <w:rFonts w:ascii="Calibri" w:cs="Calibri" w:eastAsia="Calibri" w:hAnsi="Calibri"/>
          <w:sz w:val="18"/>
          <w:szCs w:val="18"/>
          <w:color w:val="auto"/>
        </w:rPr>
        <w:t>) the Earnings, the Insurances, any Requisiton Compensaton relatve to the Ship and the beneft of any warrantes of quality in favour of the Owner under the Shipbuilding Contract in the Agreed Form.</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Group</w:t>
      </w:r>
      <w:r>
        <w:rPr>
          <w:rFonts w:ascii="Calibri" w:cs="Calibri" w:eastAsia="Calibri" w:hAnsi="Calibri"/>
          <w:sz w:val="18"/>
          <w:szCs w:val="18"/>
          <w:color w:val="auto"/>
        </w:rPr>
        <w:t>" means, together, the Owner, the Borrower and each of their respectve subsidiaries (direct or indirect) from tme to tme during the Security Period and "</w:t>
      </w:r>
      <w:r>
        <w:rPr>
          <w:rFonts w:ascii="Calibri" w:cs="Calibri" w:eastAsia="Calibri" w:hAnsi="Calibri"/>
          <w:sz w:val="18"/>
          <w:szCs w:val="18"/>
          <w:b w:val="1"/>
          <w:bCs w:val="1"/>
          <w:color w:val="auto"/>
        </w:rPr>
        <w:t>member of the Group</w:t>
      </w:r>
      <w:r>
        <w:rPr>
          <w:rFonts w:ascii="Calibri" w:cs="Calibri" w:eastAsia="Calibri" w:hAnsi="Calibri"/>
          <w:sz w:val="18"/>
          <w:szCs w:val="18"/>
          <w:color w:val="auto"/>
        </w:rPr>
        <w:t>" shall be construed accordingly;</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IACS</w:t>
      </w:r>
      <w:r>
        <w:rPr>
          <w:rFonts w:ascii="Calibri" w:cs="Calibri" w:eastAsia="Calibri" w:hAnsi="Calibri"/>
          <w:sz w:val="18"/>
          <w:szCs w:val="18"/>
          <w:color w:val="auto"/>
        </w:rPr>
        <w:t>" means the Internatonal Associaton of Classifcaton Societes.</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IFRS</w:t>
      </w:r>
      <w:r>
        <w:rPr>
          <w:rFonts w:ascii="Calibri" w:cs="Calibri" w:eastAsia="Calibri" w:hAnsi="Calibri"/>
          <w:sz w:val="18"/>
          <w:szCs w:val="18"/>
          <w:color w:val="auto"/>
        </w:rPr>
        <w:t>" means internatonal accountng standards within the meaning of the IAS Regulatons 1606/2002 to the extent applicable to the relevant fnancial statements.</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54" w:name="page155"/>
    <w:bookmarkEnd w:id="154"/>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Inital Market Value</w:t>
      </w:r>
      <w:r>
        <w:rPr>
          <w:rFonts w:ascii="Calibri" w:cs="Calibri" w:eastAsia="Calibri" w:hAnsi="Calibri"/>
          <w:sz w:val="18"/>
          <w:szCs w:val="18"/>
          <w:color w:val="auto"/>
        </w:rPr>
        <w:t>" means the Market Value of the Ship calculated in accordance with the valuatons relatve thereto referred to in paragraph 5 of Part B of Schedule 3.</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Instalment</w:t>
      </w:r>
      <w:r>
        <w:rPr>
          <w:rFonts w:ascii="Calibri" w:cs="Calibri" w:eastAsia="Calibri" w:hAnsi="Calibri"/>
          <w:sz w:val="18"/>
          <w:szCs w:val="18"/>
          <w:color w:val="auto"/>
        </w:rPr>
        <w:t>" has the meaning given in Clause 8.1.</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Insurances</w:t>
      </w:r>
      <w:r>
        <w:rPr>
          <w:rFonts w:ascii="Calibri" w:cs="Calibri" w:eastAsia="Calibri" w:hAnsi="Calibri"/>
          <w:sz w:val="18"/>
          <w:szCs w:val="18"/>
          <w:color w:val="auto"/>
        </w:rPr>
        <w:t>" means:</w:t>
      </w:r>
    </w:p>
    <w:p>
      <w:pPr>
        <w:spacing w:after="0" w:line="183" w:lineRule="exact"/>
        <w:rPr>
          <w:sz w:val="20"/>
          <w:szCs w:val="20"/>
          <w:color w:val="auto"/>
        </w:rPr>
      </w:pPr>
    </w:p>
    <w:p>
      <w:pPr>
        <w:jc w:val="both"/>
        <w:ind w:left="600" w:hanging="599"/>
        <w:spacing w:after="0" w:line="225" w:lineRule="auto"/>
        <w:tabs>
          <w:tab w:leader="none" w:pos="600" w:val="left"/>
        </w:tabs>
        <w:numPr>
          <w:ilvl w:val="0"/>
          <w:numId w:val="183"/>
        </w:numPr>
        <w:rPr>
          <w:rFonts w:ascii="Calibri" w:cs="Calibri" w:eastAsia="Calibri" w:hAnsi="Calibri"/>
          <w:sz w:val="18"/>
          <w:szCs w:val="18"/>
          <w:color w:val="auto"/>
        </w:rPr>
      </w:pPr>
      <w:r>
        <w:rPr>
          <w:rFonts w:ascii="Calibri" w:cs="Calibri" w:eastAsia="Calibri" w:hAnsi="Calibri"/>
          <w:sz w:val="18"/>
          <w:szCs w:val="18"/>
          <w:color w:val="auto"/>
        </w:rPr>
        <w:t>all policies and contracts of insurance (including, without limitaton, any loss of hire insurance) and any reinsurance, policies or contracts, including entries of the Ship in any protecton and indemnity or war risks associaton, efected in respect of the Ship, its Earnings or otherwise in relaton to it whether before, on or afer the date of this Agreement; and</w:t>
      </w:r>
    </w:p>
    <w:p>
      <w:pPr>
        <w:spacing w:after="0" w:line="183" w:lineRule="exact"/>
        <w:rPr>
          <w:rFonts w:ascii="Calibri" w:cs="Calibri" w:eastAsia="Calibri" w:hAnsi="Calibri"/>
          <w:sz w:val="18"/>
          <w:szCs w:val="18"/>
          <w:color w:val="auto"/>
        </w:rPr>
      </w:pPr>
    </w:p>
    <w:p>
      <w:pPr>
        <w:jc w:val="both"/>
        <w:ind w:left="600" w:hanging="599"/>
        <w:spacing w:after="0" w:line="223" w:lineRule="auto"/>
        <w:tabs>
          <w:tab w:leader="none" w:pos="600" w:val="left"/>
        </w:tabs>
        <w:numPr>
          <w:ilvl w:val="0"/>
          <w:numId w:val="183"/>
        </w:numPr>
        <w:rPr>
          <w:rFonts w:ascii="Calibri" w:cs="Calibri" w:eastAsia="Calibri" w:hAnsi="Calibri"/>
          <w:sz w:val="18"/>
          <w:szCs w:val="18"/>
          <w:color w:val="auto"/>
        </w:rPr>
      </w:pPr>
      <w:r>
        <w:rPr>
          <w:rFonts w:ascii="Calibri" w:cs="Calibri" w:eastAsia="Calibri" w:hAnsi="Calibri"/>
          <w:sz w:val="18"/>
          <w:szCs w:val="18"/>
          <w:color w:val="auto"/>
        </w:rPr>
        <w:t>all rights (including, without limitaton, any and all rights or claims which the Owner may have under or in connecton with any cut-through clause relatve to any reinsurance contract relatng to the aforesaid policies or contracts of insurance) and other assets relatng to, or derived from, any of the foregoing, including any rights to a return of a premium and any rights in respect of any claim whether or not the relevant policy, contract of insurance or entry has expired on or before the date of this Agreement;</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Interest Payment</w:t>
      </w:r>
      <w:r>
        <w:rPr>
          <w:rFonts w:ascii="Calibri" w:cs="Calibri" w:eastAsia="Calibri" w:hAnsi="Calibri"/>
          <w:sz w:val="18"/>
          <w:szCs w:val="18"/>
          <w:color w:val="auto"/>
        </w:rPr>
        <w:t>" means the aggregate amount of interest that is, or is scheduled to become, payable under any Finance Document;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Interest Period</w:t>
      </w:r>
      <w:r>
        <w:rPr>
          <w:rFonts w:ascii="Calibri" w:cs="Calibri" w:eastAsia="Calibri" w:hAnsi="Calibri"/>
          <w:sz w:val="18"/>
          <w:szCs w:val="18"/>
          <w:color w:val="auto"/>
        </w:rPr>
        <w:t>" means a period determined in accordance with Clause 6.</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ISM Code</w:t>
      </w:r>
      <w:r>
        <w:rPr>
          <w:rFonts w:ascii="Calibri" w:cs="Calibri" w:eastAsia="Calibri" w:hAnsi="Calibri"/>
          <w:sz w:val="18"/>
          <w:szCs w:val="18"/>
          <w:color w:val="auto"/>
        </w:rPr>
        <w:t>" means the Internatonal Safety Management Code (including the guidelines on its implementaton), adopted by the Internatonal Maritme Organisaton as the same may be amended or supplemented from tme to tme (and the terms "safety management system", "Safety Management Certfcate" and "Document of Compliance" have the same meanings as are given to them in the ISM Code).</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ISPS Code</w:t>
      </w:r>
      <w:r>
        <w:rPr>
          <w:rFonts w:ascii="Calibri" w:cs="Calibri" w:eastAsia="Calibri" w:hAnsi="Calibri"/>
          <w:sz w:val="18"/>
          <w:szCs w:val="18"/>
          <w:color w:val="auto"/>
        </w:rPr>
        <w:t>" means the Internatonal Ship and Port Facility Security Code as adopted by the Internatonal Maritme Organisaton, as the same may be amended or supplemented from tme to tme.</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ISSC</w:t>
      </w:r>
      <w:r>
        <w:rPr>
          <w:rFonts w:ascii="Calibri" w:cs="Calibri" w:eastAsia="Calibri" w:hAnsi="Calibri"/>
          <w:sz w:val="18"/>
          <w:szCs w:val="18"/>
          <w:color w:val="auto"/>
        </w:rPr>
        <w:t>" means a valid and current Internatonal Ship Security Certfcate issued under the ISPS Code.</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Lender</w:t>
      </w:r>
      <w:r>
        <w:rPr>
          <w:rFonts w:ascii="Calibri" w:cs="Calibri" w:eastAsia="Calibri" w:hAnsi="Calibri"/>
          <w:sz w:val="18"/>
          <w:szCs w:val="18"/>
          <w:color w:val="auto"/>
        </w:rPr>
        <w:t>" means, subject to Clause 26.6, a bank or fnancial insttuton listed in Part A of Schedule 1 and actng through its branch indicated in Part A of Schedule 1 (or through another branch notfed to the Agent under Clause 26.16) or its transferee, successor or assign.</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Leverage Rato</w:t>
      </w:r>
      <w:r>
        <w:rPr>
          <w:rFonts w:ascii="Calibri" w:cs="Calibri" w:eastAsia="Calibri" w:hAnsi="Calibri"/>
          <w:sz w:val="18"/>
          <w:szCs w:val="18"/>
          <w:color w:val="auto"/>
        </w:rPr>
        <w:t>" means, any relevant tme, the rato (expressed as a percentage) of:</w:t>
      </w:r>
    </w:p>
    <w:p>
      <w:pPr>
        <w:spacing w:after="0" w:line="181" w:lineRule="exact"/>
        <w:rPr>
          <w:sz w:val="20"/>
          <w:szCs w:val="20"/>
          <w:color w:val="auto"/>
        </w:rPr>
      </w:pPr>
    </w:p>
    <w:p>
      <w:pPr>
        <w:ind w:left="600" w:hanging="599"/>
        <w:spacing w:after="0"/>
        <w:tabs>
          <w:tab w:leader="none" w:pos="600" w:val="left"/>
        </w:tabs>
        <w:numPr>
          <w:ilvl w:val="0"/>
          <w:numId w:val="184"/>
        </w:numPr>
        <w:rPr>
          <w:rFonts w:ascii="Calibri" w:cs="Calibri" w:eastAsia="Calibri" w:hAnsi="Calibri"/>
          <w:sz w:val="18"/>
          <w:szCs w:val="18"/>
          <w:color w:val="auto"/>
        </w:rPr>
      </w:pPr>
      <w:r>
        <w:rPr>
          <w:rFonts w:ascii="Calibri" w:cs="Calibri" w:eastAsia="Calibri" w:hAnsi="Calibri"/>
          <w:sz w:val="18"/>
          <w:szCs w:val="18"/>
          <w:color w:val="auto"/>
        </w:rPr>
        <w:t>the aggregate Financial Indebtedness of the Group net of any Liquid Assets; and</w:t>
      </w:r>
    </w:p>
    <w:p>
      <w:pPr>
        <w:spacing w:after="0" w:line="183" w:lineRule="exact"/>
        <w:rPr>
          <w:rFonts w:ascii="Calibri" w:cs="Calibri" w:eastAsia="Calibri" w:hAnsi="Calibri"/>
          <w:sz w:val="18"/>
          <w:szCs w:val="18"/>
          <w:color w:val="auto"/>
        </w:rPr>
      </w:pPr>
    </w:p>
    <w:p>
      <w:pPr>
        <w:ind w:right="4000" w:firstLine="1"/>
        <w:spacing w:after="0" w:line="435" w:lineRule="auto"/>
        <w:tabs>
          <w:tab w:leader="none" w:pos="601" w:val="left"/>
        </w:tabs>
        <w:numPr>
          <w:ilvl w:val="0"/>
          <w:numId w:val="184"/>
        </w:numPr>
        <w:rPr>
          <w:rFonts w:ascii="Calibri" w:cs="Calibri" w:eastAsia="Calibri" w:hAnsi="Calibri"/>
          <w:sz w:val="18"/>
          <w:szCs w:val="18"/>
          <w:color w:val="auto"/>
        </w:rPr>
      </w:pPr>
      <w:r>
        <w:rPr>
          <w:rFonts w:ascii="Calibri" w:cs="Calibri" w:eastAsia="Calibri" w:hAnsi="Calibri"/>
          <w:sz w:val="18"/>
          <w:szCs w:val="18"/>
          <w:color w:val="auto"/>
        </w:rPr>
        <w:t>the Market Value Adjusted Total Assets (including, without limitaton, the Ship). "</w:t>
      </w:r>
      <w:r>
        <w:rPr>
          <w:rFonts w:ascii="Calibri" w:cs="Calibri" w:eastAsia="Calibri" w:hAnsi="Calibri"/>
          <w:sz w:val="18"/>
          <w:szCs w:val="18"/>
          <w:b w:val="1"/>
          <w:bCs w:val="1"/>
          <w:color w:val="auto"/>
        </w:rPr>
        <w:t>Liquid Assets</w:t>
      </w:r>
      <w:r>
        <w:rPr>
          <w:rFonts w:ascii="Calibri" w:cs="Calibri" w:eastAsia="Calibri" w:hAnsi="Calibri"/>
          <w:sz w:val="18"/>
          <w:szCs w:val="18"/>
          <w:color w:val="auto"/>
        </w:rPr>
        <w:t>" means, at any relevant tme hereunder, the aggregate of:</w:t>
      </w:r>
    </w:p>
    <w:p>
      <w:pPr>
        <w:spacing w:after="0" w:line="5" w:lineRule="exact"/>
        <w:rPr>
          <w:sz w:val="20"/>
          <w:szCs w:val="20"/>
          <w:color w:val="auto"/>
        </w:rPr>
      </w:pPr>
    </w:p>
    <w:p>
      <w:pPr>
        <w:ind w:left="600" w:hanging="599"/>
        <w:spacing w:after="0" w:line="228" w:lineRule="auto"/>
        <w:tabs>
          <w:tab w:leader="none" w:pos="600" w:val="left"/>
        </w:tabs>
        <w:numPr>
          <w:ilvl w:val="0"/>
          <w:numId w:val="185"/>
        </w:numPr>
        <w:rPr>
          <w:rFonts w:ascii="Calibri" w:cs="Calibri" w:eastAsia="Calibri" w:hAnsi="Calibri"/>
          <w:sz w:val="18"/>
          <w:szCs w:val="18"/>
          <w:color w:val="auto"/>
        </w:rPr>
      </w:pPr>
      <w:r>
        <w:rPr>
          <w:rFonts w:ascii="Calibri" w:cs="Calibri" w:eastAsia="Calibri" w:hAnsi="Calibri"/>
          <w:sz w:val="18"/>
          <w:szCs w:val="18"/>
          <w:color w:val="auto"/>
        </w:rPr>
        <w:t>cash in hand or held with banks or other fnancial insttutons of the Borrower and/or any other member of the Group in Dollars or another currency freely convertble into</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30" w:right="339" w:bottom="1440" w:gutter="0" w:footer="0" w:header="0"/>
        </w:sectPr>
      </w:pPr>
    </w:p>
    <w:bookmarkStart w:id="155" w:name="page156"/>
    <w:bookmarkEnd w:id="155"/>
    <w:p>
      <w:pPr>
        <w:ind w:left="600"/>
        <w:spacing w:after="0" w:line="228" w:lineRule="auto"/>
        <w:rPr>
          <w:sz w:val="20"/>
          <w:szCs w:val="20"/>
          <w:color w:val="auto"/>
        </w:rPr>
      </w:pPr>
      <w:r>
        <w:rPr>
          <w:rFonts w:ascii="Calibri" w:cs="Calibri" w:eastAsia="Calibri" w:hAnsi="Calibri"/>
          <w:sz w:val="18"/>
          <w:szCs w:val="18"/>
          <w:color w:val="auto"/>
        </w:rPr>
        <w:t>Dollars, which is free of any Security Interest (other than a Permited Security Interest and other than ordinary bankers' liens which have not been enforced or become capable of being enforced);</w:t>
      </w:r>
    </w:p>
    <w:p>
      <w:pPr>
        <w:spacing w:after="0" w:line="182" w:lineRule="exact"/>
        <w:rPr>
          <w:sz w:val="20"/>
          <w:szCs w:val="20"/>
          <w:color w:val="auto"/>
        </w:rPr>
      </w:pPr>
    </w:p>
    <w:p>
      <w:pPr>
        <w:ind w:left="600" w:hanging="599"/>
        <w:spacing w:after="0"/>
        <w:tabs>
          <w:tab w:leader="none" w:pos="600" w:val="left"/>
        </w:tabs>
        <w:numPr>
          <w:ilvl w:val="0"/>
          <w:numId w:val="186"/>
        </w:numPr>
        <w:rPr>
          <w:rFonts w:ascii="Calibri" w:cs="Calibri" w:eastAsia="Calibri" w:hAnsi="Calibri"/>
          <w:sz w:val="18"/>
          <w:szCs w:val="18"/>
          <w:color w:val="auto"/>
        </w:rPr>
      </w:pPr>
      <w:r>
        <w:rPr>
          <w:rFonts w:ascii="Calibri" w:cs="Calibri" w:eastAsia="Calibri" w:hAnsi="Calibri"/>
          <w:sz w:val="18"/>
          <w:szCs w:val="18"/>
          <w:color w:val="auto"/>
        </w:rPr>
        <w:t>any other short-term fnancial investment which is free of any Security Interest (other than a Permited Security Interest);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6"/>
        </w:numPr>
        <w:rPr>
          <w:rFonts w:ascii="Calibri" w:cs="Calibri" w:eastAsia="Calibri" w:hAnsi="Calibri"/>
          <w:sz w:val="18"/>
          <w:szCs w:val="18"/>
          <w:color w:val="auto"/>
        </w:rPr>
      </w:pPr>
      <w:r>
        <w:rPr>
          <w:rFonts w:ascii="Calibri" w:cs="Calibri" w:eastAsia="Calibri" w:hAnsi="Calibri"/>
          <w:sz w:val="18"/>
          <w:szCs w:val="18"/>
          <w:color w:val="auto"/>
        </w:rPr>
        <w:t>any cash equivalent of the Borrower and/or any other member of the Group; and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6"/>
        </w:numPr>
        <w:rPr>
          <w:rFonts w:ascii="Calibri" w:cs="Calibri" w:eastAsia="Calibri" w:hAnsi="Calibri"/>
          <w:sz w:val="18"/>
          <w:szCs w:val="18"/>
          <w:color w:val="auto"/>
        </w:rPr>
      </w:pPr>
      <w:r>
        <w:rPr>
          <w:rFonts w:ascii="Calibri" w:cs="Calibri" w:eastAsia="Calibri" w:hAnsi="Calibri"/>
          <w:sz w:val="18"/>
          <w:szCs w:val="18"/>
          <w:color w:val="auto"/>
        </w:rPr>
        <w:t>any marketable securites of the Borrower and/or any other member of the Group,</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as stated in the latest Accountng Informaton.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Loan</w:t>
      </w:r>
      <w:r>
        <w:rPr>
          <w:rFonts w:ascii="Calibri" w:cs="Calibri" w:eastAsia="Calibri" w:hAnsi="Calibri"/>
          <w:sz w:val="18"/>
          <w:szCs w:val="18"/>
          <w:color w:val="auto"/>
        </w:rPr>
        <w:t>" means the principal amount for the tme being outstanding under this Agreement.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Lookback Period</w:t>
      </w:r>
      <w:r>
        <w:rPr>
          <w:rFonts w:ascii="Calibri" w:cs="Calibri" w:eastAsia="Calibri" w:hAnsi="Calibri"/>
          <w:sz w:val="18"/>
          <w:szCs w:val="18"/>
          <w:color w:val="auto"/>
        </w:rPr>
        <w:t>" means the number of days specifed as such in the Reference Rate Terms;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LSW 1189</w:t>
      </w:r>
      <w:r>
        <w:rPr>
          <w:rFonts w:ascii="Calibri" w:cs="Calibri" w:eastAsia="Calibri" w:hAnsi="Calibri"/>
          <w:sz w:val="18"/>
          <w:szCs w:val="18"/>
          <w:color w:val="auto"/>
        </w:rPr>
        <w:t>" means the London Standard Wording for marine insurances which incorporates the German Direct Mortgage Clause.</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Major Casualty</w:t>
      </w:r>
      <w:r>
        <w:rPr>
          <w:rFonts w:ascii="Calibri" w:cs="Calibri" w:eastAsia="Calibri" w:hAnsi="Calibri"/>
          <w:sz w:val="18"/>
          <w:szCs w:val="18"/>
          <w:color w:val="auto"/>
        </w:rPr>
        <w:t>" means any casualty to the Ship in respect of which the claim or the aggregate of the claims against all insurers, before adjustment for any relevant franchise or deductble, exceeds $3,000,000 or the equivalent in any other currency.</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Majority Lenders</w:t>
      </w:r>
      <w:r>
        <w:rPr>
          <w:rFonts w:ascii="Calibri" w:cs="Calibri" w:eastAsia="Calibri" w:hAnsi="Calibri"/>
          <w:sz w:val="18"/>
          <w:szCs w:val="18"/>
          <w:color w:val="auto"/>
        </w:rPr>
        <w:t>" means:</w:t>
      </w:r>
    </w:p>
    <w:p>
      <w:pPr>
        <w:spacing w:after="0" w:line="115" w:lineRule="exact"/>
        <w:rPr>
          <w:sz w:val="20"/>
          <w:szCs w:val="20"/>
          <w:color w:val="auto"/>
        </w:rPr>
      </w:pPr>
    </w:p>
    <w:p>
      <w:pPr>
        <w:ind w:left="600" w:hanging="599"/>
        <w:spacing w:after="0"/>
        <w:tabs>
          <w:tab w:leader="none" w:pos="600" w:val="left"/>
        </w:tabs>
        <w:numPr>
          <w:ilvl w:val="0"/>
          <w:numId w:val="187"/>
        </w:numPr>
        <w:rPr>
          <w:rFonts w:ascii="Calibri" w:cs="Calibri" w:eastAsia="Calibri" w:hAnsi="Calibri"/>
          <w:sz w:val="37"/>
          <w:szCs w:val="37"/>
          <w:color w:val="auto"/>
          <w:vertAlign w:val="superscript"/>
        </w:rPr>
      </w:pPr>
      <w:r>
        <w:rPr>
          <w:rFonts w:ascii="Calibri" w:cs="Calibri" w:eastAsia="Calibri" w:hAnsi="Calibri"/>
          <w:sz w:val="18"/>
          <w:szCs w:val="18"/>
          <w:color w:val="auto"/>
        </w:rPr>
        <w:t xml:space="preserve">before the Loan is advanced, Lenders whose Commitments total 66 </w:t>
      </w:r>
      <w:r>
        <w:rPr>
          <w:rFonts w:ascii="Calibri" w:cs="Calibri" w:eastAsia="Calibri" w:hAnsi="Calibri"/>
          <w:sz w:val="30"/>
          <w:szCs w:val="30"/>
          <w:color w:val="auto"/>
          <w:vertAlign w:val="superscript"/>
        </w:rPr>
        <w:t>2/3</w:t>
      </w:r>
      <w:r>
        <w:rPr>
          <w:rFonts w:ascii="Calibri" w:cs="Calibri" w:eastAsia="Calibri" w:hAnsi="Calibri"/>
          <w:sz w:val="18"/>
          <w:szCs w:val="18"/>
          <w:color w:val="auto"/>
        </w:rPr>
        <w:t xml:space="preserve"> per cent. of the Total Commitments; and</w:t>
      </w:r>
    </w:p>
    <w:p>
      <w:pPr>
        <w:spacing w:after="0" w:line="40" w:lineRule="exact"/>
        <w:rPr>
          <w:rFonts w:ascii="Calibri" w:cs="Calibri" w:eastAsia="Calibri" w:hAnsi="Calibri"/>
          <w:sz w:val="37"/>
          <w:szCs w:val="37"/>
          <w:color w:val="auto"/>
          <w:vertAlign w:val="superscript"/>
        </w:rPr>
      </w:pPr>
    </w:p>
    <w:p>
      <w:pPr>
        <w:ind w:left="600" w:hanging="599"/>
        <w:spacing w:after="0" w:line="231" w:lineRule="auto"/>
        <w:tabs>
          <w:tab w:leader="none" w:pos="600" w:val="left"/>
        </w:tabs>
        <w:numPr>
          <w:ilvl w:val="0"/>
          <w:numId w:val="187"/>
        </w:numPr>
        <w:rPr>
          <w:rFonts w:ascii="Calibri" w:cs="Calibri" w:eastAsia="Calibri" w:hAnsi="Calibri"/>
          <w:sz w:val="37"/>
          <w:szCs w:val="37"/>
          <w:color w:val="auto"/>
          <w:vertAlign w:val="superscript"/>
        </w:rPr>
      </w:pPr>
      <w:r>
        <w:rPr>
          <w:rFonts w:ascii="Calibri" w:cs="Calibri" w:eastAsia="Calibri" w:hAnsi="Calibri"/>
          <w:sz w:val="18"/>
          <w:szCs w:val="18"/>
          <w:color w:val="auto"/>
        </w:rPr>
        <w:t xml:space="preserve">afer the Loan is advanced, Lenders whose Contributons total 66 </w:t>
      </w:r>
      <w:r>
        <w:rPr>
          <w:rFonts w:ascii="Calibri" w:cs="Calibri" w:eastAsia="Calibri" w:hAnsi="Calibri"/>
          <w:sz w:val="30"/>
          <w:szCs w:val="30"/>
          <w:color w:val="auto"/>
          <w:vertAlign w:val="superscript"/>
        </w:rPr>
        <w:t>2/3</w:t>
      </w:r>
      <w:r>
        <w:rPr>
          <w:rFonts w:ascii="Calibri" w:cs="Calibri" w:eastAsia="Calibri" w:hAnsi="Calibri"/>
          <w:sz w:val="18"/>
          <w:szCs w:val="18"/>
          <w:color w:val="auto"/>
        </w:rPr>
        <w:t xml:space="preserve"> per cent. of the Loan.</w:t>
      </w:r>
    </w:p>
    <w:p>
      <w:pPr>
        <w:spacing w:after="0" w:line="9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Mandated Lead Arranger</w:t>
      </w:r>
      <w:r>
        <w:rPr>
          <w:rFonts w:ascii="Calibri" w:cs="Calibri" w:eastAsia="Calibri" w:hAnsi="Calibri"/>
          <w:sz w:val="18"/>
          <w:szCs w:val="18"/>
          <w:color w:val="auto"/>
        </w:rPr>
        <w:t>" means Hamburg Commercial Bank AG, actng in such capacity through its ofce at Gerhart-Hauptmann-Platz 50, D-20095 Hamburg, Germany, or any successor.</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Margin</w:t>
      </w:r>
      <w:r>
        <w:rPr>
          <w:rFonts w:ascii="Calibri" w:cs="Calibri" w:eastAsia="Calibri" w:hAnsi="Calibri"/>
          <w:sz w:val="18"/>
          <w:szCs w:val="18"/>
          <w:color w:val="auto"/>
        </w:rPr>
        <w:t>" means 2.15 per cent. per annum.</w:t>
      </w:r>
    </w:p>
    <w:p>
      <w:pPr>
        <w:spacing w:after="0" w:line="183" w:lineRule="exact"/>
        <w:rPr>
          <w:sz w:val="20"/>
          <w:szCs w:val="20"/>
          <w:color w:val="auto"/>
        </w:rPr>
      </w:pPr>
    </w:p>
    <w:p>
      <w:pPr>
        <w:ind w:right="1600"/>
        <w:spacing w:after="0" w:line="43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Market Disrupton Credit Adjustment Spread</w:t>
      </w:r>
      <w:r>
        <w:rPr>
          <w:rFonts w:ascii="Calibri" w:cs="Calibri" w:eastAsia="Calibri" w:hAnsi="Calibri"/>
          <w:sz w:val="18"/>
          <w:szCs w:val="18"/>
          <w:color w:val="auto"/>
        </w:rPr>
        <w:t>" means any rate which is specifed as such in the Reference Rate Terms; "</w:t>
      </w:r>
      <w:r>
        <w:rPr>
          <w:rFonts w:ascii="Calibri" w:cs="Calibri" w:eastAsia="Calibri" w:hAnsi="Calibri"/>
          <w:sz w:val="18"/>
          <w:szCs w:val="18"/>
          <w:b w:val="1"/>
          <w:bCs w:val="1"/>
          <w:color w:val="auto"/>
        </w:rPr>
        <w:t>Market Disrupton Rate</w:t>
      </w:r>
      <w:r>
        <w:rPr>
          <w:rFonts w:ascii="Calibri" w:cs="Calibri" w:eastAsia="Calibri" w:hAnsi="Calibri"/>
          <w:sz w:val="18"/>
          <w:szCs w:val="18"/>
          <w:color w:val="auto"/>
        </w:rPr>
        <w:t>" means the rate specifed as such in the Reference Rate Terms;</w:t>
      </w:r>
    </w:p>
    <w:p>
      <w:pPr>
        <w:spacing w:after="0" w:line="5"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Market Value</w:t>
      </w:r>
      <w:r>
        <w:rPr>
          <w:rFonts w:ascii="Calibri" w:cs="Calibri" w:eastAsia="Calibri" w:hAnsi="Calibri"/>
          <w:sz w:val="18"/>
          <w:szCs w:val="18"/>
          <w:color w:val="auto"/>
        </w:rPr>
        <w:t>" means, in relaton to the Ship or other Fleet Vessel, the market value of that Ship or Fleet Vessel determined in accordance with Clause 15.3.</w:t>
      </w:r>
    </w:p>
    <w:p>
      <w:pPr>
        <w:spacing w:after="0" w:line="184"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Market Value Adjusted Total Assets</w:t>
      </w:r>
      <w:r>
        <w:rPr>
          <w:rFonts w:ascii="Calibri" w:cs="Calibri" w:eastAsia="Calibri" w:hAnsi="Calibri"/>
          <w:sz w:val="18"/>
          <w:szCs w:val="18"/>
          <w:color w:val="auto"/>
        </w:rPr>
        <w:t>" means, at any tme, the Total Assets adjusted to refect the aggregate Market Value of all the Fleet Vessels.</w:t>
      </w:r>
    </w:p>
    <w:p>
      <w:pPr>
        <w:spacing w:after="0" w:line="381"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Material Adverse Change</w:t>
      </w:r>
      <w:r>
        <w:rPr>
          <w:rFonts w:ascii="Calibri" w:cs="Calibri" w:eastAsia="Calibri" w:hAnsi="Calibri"/>
          <w:sz w:val="18"/>
          <w:szCs w:val="18"/>
          <w:color w:val="auto"/>
        </w:rPr>
        <w:t>" means any event or series of events which, in the opinion of the Majority Lenders, is likely to have a Material Adverse Efect.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Material Adverse Efect</w:t>
      </w:r>
      <w:r>
        <w:rPr>
          <w:rFonts w:ascii="Calibri" w:cs="Calibri" w:eastAsia="Calibri" w:hAnsi="Calibri"/>
          <w:sz w:val="18"/>
          <w:szCs w:val="18"/>
          <w:color w:val="auto"/>
        </w:rPr>
        <w:t>" means a material adverse efect which, in the reasonable opinion of the Majority Lenders, has an efect on:</w:t>
      </w:r>
    </w:p>
    <w:p>
      <w:pPr>
        <w:spacing w:after="0" w:line="182"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56" w:name="page157"/>
    <w:bookmarkEnd w:id="156"/>
    <w:p>
      <w:pPr>
        <w:ind w:left="600" w:hanging="599"/>
        <w:spacing w:after="0" w:line="228" w:lineRule="auto"/>
        <w:tabs>
          <w:tab w:leader="none" w:pos="600" w:val="left"/>
        </w:tabs>
        <w:numPr>
          <w:ilvl w:val="0"/>
          <w:numId w:val="188"/>
        </w:numPr>
        <w:rPr>
          <w:rFonts w:ascii="Calibri" w:cs="Calibri" w:eastAsia="Calibri" w:hAnsi="Calibri"/>
          <w:sz w:val="18"/>
          <w:szCs w:val="18"/>
          <w:color w:val="auto"/>
        </w:rPr>
      </w:pPr>
      <w:r>
        <w:rPr>
          <w:rFonts w:ascii="Calibri" w:cs="Calibri" w:eastAsia="Calibri" w:hAnsi="Calibri"/>
          <w:sz w:val="18"/>
          <w:szCs w:val="18"/>
          <w:color w:val="auto"/>
        </w:rPr>
        <w:t>the business, property, assets, liabilites, operatons or conditon (fnancial or otherwise) of the Borrower and/or any Security Party taken as a whole;</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88"/>
        </w:numPr>
        <w:rPr>
          <w:rFonts w:ascii="Calibri" w:cs="Calibri" w:eastAsia="Calibri" w:hAnsi="Calibri"/>
          <w:sz w:val="18"/>
          <w:szCs w:val="18"/>
          <w:color w:val="auto"/>
        </w:rPr>
      </w:pPr>
      <w:r>
        <w:rPr>
          <w:rFonts w:ascii="Calibri" w:cs="Calibri" w:eastAsia="Calibri" w:hAnsi="Calibri"/>
          <w:sz w:val="18"/>
          <w:szCs w:val="18"/>
          <w:color w:val="auto"/>
        </w:rPr>
        <w:t>the ability of the Borrower and/or any Security Party to (i) comply with or perform any of its obligatons or (ii) discharge any of its liabilites, under any Finance Document as they fall due; 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8"/>
        </w:numPr>
        <w:rPr>
          <w:rFonts w:ascii="Calibri" w:cs="Calibri" w:eastAsia="Calibri" w:hAnsi="Calibri"/>
          <w:sz w:val="18"/>
          <w:szCs w:val="18"/>
          <w:color w:val="auto"/>
        </w:rPr>
      </w:pPr>
      <w:r>
        <w:rPr>
          <w:rFonts w:ascii="Calibri" w:cs="Calibri" w:eastAsia="Calibri" w:hAnsi="Calibri"/>
          <w:sz w:val="18"/>
          <w:szCs w:val="18"/>
          <w:color w:val="auto"/>
        </w:rPr>
        <w:t>the validity, legality or enforceability of any Finance Document.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Maximum Loan Amount</w:t>
      </w:r>
      <w:r>
        <w:rPr>
          <w:rFonts w:ascii="Calibri" w:cs="Calibri" w:eastAsia="Calibri" w:hAnsi="Calibri"/>
          <w:sz w:val="18"/>
          <w:szCs w:val="18"/>
          <w:color w:val="auto"/>
        </w:rPr>
        <w:t>" means an amount up to the lesser of (i) $105,000,000 and (ii) 60 per cent. of the Inital Market Value of the Ship.</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Mortgage</w:t>
      </w:r>
      <w:r>
        <w:rPr>
          <w:rFonts w:ascii="Calibri" w:cs="Calibri" w:eastAsia="Calibri" w:hAnsi="Calibri"/>
          <w:sz w:val="18"/>
          <w:szCs w:val="18"/>
          <w:color w:val="auto"/>
        </w:rPr>
        <w:t>" means the frst preferred or, as the case may be, priority ship mortgage on the Ship in the Agreed Form as from tme to tme amended.</w:t>
      </w:r>
    </w:p>
    <w:p>
      <w:pPr>
        <w:spacing w:after="0" w:line="184"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Net Interest Expense</w:t>
      </w:r>
      <w:r>
        <w:rPr>
          <w:rFonts w:ascii="Calibri" w:cs="Calibri" w:eastAsia="Calibri" w:hAnsi="Calibri"/>
          <w:sz w:val="18"/>
          <w:szCs w:val="18"/>
          <w:color w:val="auto"/>
        </w:rPr>
        <w:t>" means, as at any date of calculaton, the aggregate of all interest payable by any member of the Group on any Financial Indebtedness (excluding any amounts owing by one member of the Group to another member of the Group) and any net amounts payable under interest rate hedge agreements for the 12-month period commencing on the date of calculaton less any income received from any Liquid Assets as stated in the latest Accountng Informaton.</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Notfying Lender</w:t>
      </w:r>
      <w:r>
        <w:rPr>
          <w:rFonts w:ascii="Calibri" w:cs="Calibri" w:eastAsia="Calibri" w:hAnsi="Calibri"/>
          <w:sz w:val="18"/>
          <w:szCs w:val="18"/>
          <w:color w:val="auto"/>
        </w:rPr>
        <w:t>" has the meaning given in Clause 21.2 or Clause 23.1 as the context requires.</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Original Financial Statements</w:t>
      </w:r>
      <w:r>
        <w:rPr>
          <w:rFonts w:ascii="Calibri" w:cs="Calibri" w:eastAsia="Calibri" w:hAnsi="Calibri"/>
          <w:sz w:val="18"/>
          <w:szCs w:val="18"/>
          <w:color w:val="auto"/>
        </w:rPr>
        <w:t>" means the consolidated annual fnancial statements of the Group for the Financial Year which ended on 31 December 2021.</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Owner</w:t>
      </w:r>
      <w:r>
        <w:rPr>
          <w:rFonts w:ascii="Calibri" w:cs="Calibri" w:eastAsia="Calibri" w:hAnsi="Calibri"/>
          <w:sz w:val="18"/>
          <w:szCs w:val="18"/>
          <w:color w:val="auto"/>
        </w:rPr>
        <w:t>" means Panormos Container Carrier S.A., a corporaton incorporated in the Republic of the Marshall Islands whose registered address is at Trust Company Complex, Ajeltake Road, Ajeltake Island, Majuro, the Marshall Islands MH 96960.</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Partcipatng Member State</w:t>
      </w:r>
      <w:r>
        <w:rPr>
          <w:rFonts w:ascii="Calibri" w:cs="Calibri" w:eastAsia="Calibri" w:hAnsi="Calibri"/>
          <w:sz w:val="18"/>
          <w:szCs w:val="18"/>
          <w:color w:val="auto"/>
        </w:rPr>
        <w:t>" means any member state of the European Union that has the Euro as its lawful currency in accordance with legislaton of the European Union relatng to Economic and Monetary Union.</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Party</w:t>
      </w:r>
      <w:r>
        <w:rPr>
          <w:rFonts w:ascii="Calibri" w:cs="Calibri" w:eastAsia="Calibri" w:hAnsi="Calibri"/>
          <w:sz w:val="18"/>
          <w:szCs w:val="18"/>
          <w:color w:val="auto"/>
        </w:rPr>
        <w:t>" means a party to a Finance Document.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Payment Currency</w:t>
      </w:r>
      <w:r>
        <w:rPr>
          <w:rFonts w:ascii="Calibri" w:cs="Calibri" w:eastAsia="Calibri" w:hAnsi="Calibri"/>
          <w:sz w:val="18"/>
          <w:szCs w:val="18"/>
          <w:color w:val="auto"/>
        </w:rPr>
        <w:t>" has the meaning given in Clause 21.6.</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Permited Holders</w:t>
      </w:r>
      <w:r>
        <w:rPr>
          <w:rFonts w:ascii="Calibri" w:cs="Calibri" w:eastAsia="Calibri" w:hAnsi="Calibri"/>
          <w:sz w:val="18"/>
          <w:szCs w:val="18"/>
          <w:color w:val="auto"/>
        </w:rPr>
        <w:t>" has the meaning given in the Side Leter.</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Permited Security Interests</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189"/>
        </w:numPr>
        <w:rPr>
          <w:rFonts w:ascii="Calibri" w:cs="Calibri" w:eastAsia="Calibri" w:hAnsi="Calibri"/>
          <w:sz w:val="18"/>
          <w:szCs w:val="18"/>
          <w:color w:val="auto"/>
        </w:rPr>
      </w:pPr>
      <w:r>
        <w:rPr>
          <w:rFonts w:ascii="Calibri" w:cs="Calibri" w:eastAsia="Calibri" w:hAnsi="Calibri"/>
          <w:sz w:val="18"/>
          <w:szCs w:val="18"/>
          <w:color w:val="auto"/>
        </w:rPr>
        <w:t>Security Interests created by the Finance Documents;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9"/>
        </w:numPr>
        <w:rPr>
          <w:rFonts w:ascii="Calibri" w:cs="Calibri" w:eastAsia="Calibri" w:hAnsi="Calibri"/>
          <w:sz w:val="18"/>
          <w:szCs w:val="18"/>
          <w:color w:val="auto"/>
        </w:rPr>
      </w:pPr>
      <w:r>
        <w:rPr>
          <w:rFonts w:ascii="Calibri" w:cs="Calibri" w:eastAsia="Calibri" w:hAnsi="Calibri"/>
          <w:sz w:val="18"/>
          <w:szCs w:val="18"/>
          <w:color w:val="auto"/>
        </w:rPr>
        <w:t>liens for unpaid master's and crew's wages in accordance with usual maritme practce;</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89"/>
        </w:numPr>
        <w:rPr>
          <w:rFonts w:ascii="Calibri" w:cs="Calibri" w:eastAsia="Calibri" w:hAnsi="Calibri"/>
          <w:sz w:val="18"/>
          <w:szCs w:val="18"/>
          <w:color w:val="auto"/>
        </w:rPr>
      </w:pPr>
      <w:r>
        <w:rPr>
          <w:rFonts w:ascii="Calibri" w:cs="Calibri" w:eastAsia="Calibri" w:hAnsi="Calibri"/>
          <w:sz w:val="18"/>
          <w:szCs w:val="18"/>
          <w:color w:val="auto"/>
        </w:rPr>
        <w:t>liens for salvage;</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89"/>
        </w:numPr>
        <w:rPr>
          <w:rFonts w:ascii="Calibri" w:cs="Calibri" w:eastAsia="Calibri" w:hAnsi="Calibri"/>
          <w:sz w:val="18"/>
          <w:szCs w:val="18"/>
          <w:color w:val="auto"/>
        </w:rPr>
      </w:pPr>
      <w:r>
        <w:rPr>
          <w:rFonts w:ascii="Calibri" w:cs="Calibri" w:eastAsia="Calibri" w:hAnsi="Calibri"/>
          <w:sz w:val="18"/>
          <w:szCs w:val="18"/>
          <w:color w:val="auto"/>
        </w:rPr>
        <w:t>liens arising by operaton of law for not more than 2 months' prepaid hire under any charter in relaton to the Ship not prohibited by this Agreement;</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89"/>
        </w:numPr>
        <w:rPr>
          <w:rFonts w:ascii="Calibri" w:cs="Calibri" w:eastAsia="Calibri" w:hAnsi="Calibri"/>
          <w:sz w:val="18"/>
          <w:szCs w:val="18"/>
          <w:color w:val="auto"/>
        </w:rPr>
      </w:pPr>
      <w:r>
        <w:rPr>
          <w:rFonts w:ascii="Calibri" w:cs="Calibri" w:eastAsia="Calibri" w:hAnsi="Calibri"/>
          <w:sz w:val="18"/>
          <w:szCs w:val="18"/>
          <w:color w:val="auto"/>
        </w:rPr>
        <w:t>liens for master's disbursements incurred in the ordinary course of trading and any other lien arising by operaton of law or otherwise in the ordinary course of the</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57" w:name="page158"/>
    <w:bookmarkEnd w:id="157"/>
    <w:p>
      <w:pPr>
        <w:jc w:val="both"/>
        <w:ind w:left="600"/>
        <w:spacing w:after="0" w:line="225" w:lineRule="auto"/>
        <w:rPr>
          <w:sz w:val="20"/>
          <w:szCs w:val="20"/>
          <w:color w:val="auto"/>
        </w:rPr>
      </w:pPr>
      <w:r>
        <w:rPr>
          <w:rFonts w:ascii="Calibri" w:cs="Calibri" w:eastAsia="Calibri" w:hAnsi="Calibri"/>
          <w:sz w:val="18"/>
          <w:szCs w:val="18"/>
          <w:color w:val="auto"/>
        </w:rPr>
        <w:t>trading, chartering, operaton, repair or maintenance of the Ship, provided such liens do not secure amounts more than 30 days overdue (unless the overdue amount is being contested by the Owner in good faith by appropriate steps) and subject, in the case of liens for repair or maintenance, to Clause 14.13(d);</w:t>
      </w:r>
    </w:p>
    <w:p>
      <w:pPr>
        <w:spacing w:after="0" w:line="184" w:lineRule="exact"/>
        <w:rPr>
          <w:sz w:val="20"/>
          <w:szCs w:val="20"/>
          <w:color w:val="auto"/>
        </w:rPr>
      </w:pPr>
    </w:p>
    <w:p>
      <w:pPr>
        <w:ind w:left="600" w:hanging="599"/>
        <w:spacing w:after="0" w:line="228" w:lineRule="auto"/>
        <w:tabs>
          <w:tab w:leader="none" w:pos="600" w:val="left"/>
        </w:tabs>
        <w:numPr>
          <w:ilvl w:val="0"/>
          <w:numId w:val="190"/>
        </w:numPr>
        <w:rPr>
          <w:rFonts w:ascii="Calibri" w:cs="Calibri" w:eastAsia="Calibri" w:hAnsi="Calibri"/>
          <w:sz w:val="18"/>
          <w:szCs w:val="18"/>
          <w:color w:val="auto"/>
        </w:rPr>
      </w:pPr>
      <w:r>
        <w:rPr>
          <w:rFonts w:ascii="Calibri" w:cs="Calibri" w:eastAsia="Calibri" w:hAnsi="Calibri"/>
          <w:sz w:val="18"/>
          <w:szCs w:val="18"/>
          <w:color w:val="auto"/>
        </w:rPr>
        <w:t>any Security Interest created in favour of a plaintf or defendant in any proceedings or arbitraton as security for costs and expenses while the Borrower is prosecutng or defending such proceedings or arbitraton in good faith; and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90"/>
        </w:numPr>
        <w:rPr>
          <w:rFonts w:ascii="Calibri" w:cs="Calibri" w:eastAsia="Calibri" w:hAnsi="Calibri"/>
          <w:sz w:val="18"/>
          <w:szCs w:val="18"/>
          <w:color w:val="auto"/>
        </w:rPr>
      </w:pPr>
      <w:r>
        <w:rPr>
          <w:rFonts w:ascii="Calibri" w:cs="Calibri" w:eastAsia="Calibri" w:hAnsi="Calibri"/>
          <w:sz w:val="18"/>
          <w:szCs w:val="18"/>
          <w:color w:val="auto"/>
        </w:rPr>
        <w:t>Security Interests arising by operaton of law in respect of taxes which are not overdue for payment or in respect of taxes being contested in good faith by appropriate steps and in respect of which appropriate reserves have been made.</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Pertnent Document</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191"/>
        </w:numPr>
        <w:rPr>
          <w:rFonts w:ascii="Calibri" w:cs="Calibri" w:eastAsia="Calibri" w:hAnsi="Calibri"/>
          <w:sz w:val="18"/>
          <w:szCs w:val="18"/>
          <w:color w:val="auto"/>
        </w:rPr>
      </w:pPr>
      <w:r>
        <w:rPr>
          <w:rFonts w:ascii="Calibri" w:cs="Calibri" w:eastAsia="Calibri" w:hAnsi="Calibri"/>
          <w:sz w:val="18"/>
          <w:szCs w:val="18"/>
          <w:color w:val="auto"/>
        </w:rPr>
        <w:t>any Finance Document;</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91"/>
        </w:numPr>
        <w:rPr>
          <w:rFonts w:ascii="Calibri" w:cs="Calibri" w:eastAsia="Calibri" w:hAnsi="Calibri"/>
          <w:sz w:val="18"/>
          <w:szCs w:val="18"/>
          <w:color w:val="auto"/>
        </w:rPr>
      </w:pPr>
      <w:r>
        <w:rPr>
          <w:rFonts w:ascii="Calibri" w:cs="Calibri" w:eastAsia="Calibri" w:hAnsi="Calibri"/>
          <w:sz w:val="18"/>
          <w:szCs w:val="18"/>
          <w:color w:val="auto"/>
        </w:rPr>
        <w:t>any policy or contract of insurance contemplated by or referred to in Clause 13 or any other provision of this Agreement or another Finance Document;</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91"/>
        </w:numPr>
        <w:rPr>
          <w:rFonts w:ascii="Calibri" w:cs="Calibri" w:eastAsia="Calibri" w:hAnsi="Calibri"/>
          <w:sz w:val="18"/>
          <w:szCs w:val="18"/>
          <w:color w:val="auto"/>
        </w:rPr>
      </w:pPr>
      <w:r>
        <w:rPr>
          <w:rFonts w:ascii="Calibri" w:cs="Calibri" w:eastAsia="Calibri" w:hAnsi="Calibri"/>
          <w:sz w:val="18"/>
          <w:szCs w:val="18"/>
          <w:color w:val="auto"/>
        </w:rPr>
        <w:t>any other document contemplated by or referred to in any Finance Document; and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91"/>
        </w:numPr>
        <w:rPr>
          <w:rFonts w:ascii="Calibri" w:cs="Calibri" w:eastAsia="Calibri" w:hAnsi="Calibri"/>
          <w:sz w:val="18"/>
          <w:szCs w:val="18"/>
          <w:color w:val="auto"/>
        </w:rPr>
      </w:pPr>
      <w:r>
        <w:rPr>
          <w:rFonts w:ascii="Calibri" w:cs="Calibri" w:eastAsia="Calibri" w:hAnsi="Calibri"/>
          <w:sz w:val="18"/>
          <w:szCs w:val="18"/>
          <w:color w:val="auto"/>
        </w:rPr>
        <w:t>any document which has been or is at any tme sent by or to a Servicing Bank in contemplaton of or in connecton with any Finance Document or any policy, contract or document falling within paragraphs (b) or (c).</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Pertnent Jurisdicton</w:t>
      </w:r>
      <w:r>
        <w:rPr>
          <w:rFonts w:ascii="Calibri" w:cs="Calibri" w:eastAsia="Calibri" w:hAnsi="Calibri"/>
          <w:sz w:val="18"/>
          <w:szCs w:val="18"/>
          <w:color w:val="auto"/>
        </w:rPr>
        <w:t>" in relaton to a company, means:</w:t>
      </w:r>
    </w:p>
    <w:p>
      <w:pPr>
        <w:spacing w:after="0" w:line="181" w:lineRule="exact"/>
        <w:rPr>
          <w:sz w:val="20"/>
          <w:szCs w:val="20"/>
          <w:color w:val="auto"/>
        </w:rPr>
      </w:pPr>
    </w:p>
    <w:p>
      <w:pPr>
        <w:ind w:left="600" w:hanging="599"/>
        <w:spacing w:after="0"/>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England and Wales;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the country under the laws of which the company is incorporated or formed;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a country in which the company has the centre of its main interests or which the company's central management and control is or has recently been exercised;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a country in which the overall net income of the company is subject to corporaton tax, income tax or any similar tax;</w:t>
      </w:r>
    </w:p>
    <w:p>
      <w:pPr>
        <w:spacing w:after="0" w:line="183"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a country in which assets of the company (other than securites issued by, or loans to, related companies) having a substantal value are situated, in which the company maintains a branch or permanent place of business, or in which a Security Interest created by the company must or should be registered in order to ensure its validity or priority; and</w:t>
      </w:r>
    </w:p>
    <w:p>
      <w:pPr>
        <w:spacing w:after="0" w:line="183"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92"/>
        </w:numPr>
        <w:rPr>
          <w:rFonts w:ascii="Calibri" w:cs="Calibri" w:eastAsia="Calibri" w:hAnsi="Calibri"/>
          <w:sz w:val="18"/>
          <w:szCs w:val="18"/>
          <w:color w:val="auto"/>
        </w:rPr>
      </w:pPr>
      <w:r>
        <w:rPr>
          <w:rFonts w:ascii="Calibri" w:cs="Calibri" w:eastAsia="Calibri" w:hAnsi="Calibri"/>
          <w:sz w:val="18"/>
          <w:szCs w:val="18"/>
          <w:color w:val="auto"/>
        </w:rPr>
        <w:t>a country the courts of which have jurisdicton to make a winding up, administraton or similar order in relaton to the company, whether as a main or territorial or ancillary proceedings, or which would have such jurisdicton if their assistance were requested by the courts of a country referred to in paragraphs (b) or (c).</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Pertnent Mater</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193"/>
        </w:numPr>
        <w:rPr>
          <w:rFonts w:ascii="Calibri" w:cs="Calibri" w:eastAsia="Calibri" w:hAnsi="Calibri"/>
          <w:sz w:val="18"/>
          <w:szCs w:val="18"/>
          <w:color w:val="auto"/>
        </w:rPr>
      </w:pPr>
      <w:r>
        <w:rPr>
          <w:rFonts w:ascii="Calibri" w:cs="Calibri" w:eastAsia="Calibri" w:hAnsi="Calibri"/>
          <w:sz w:val="18"/>
          <w:szCs w:val="18"/>
          <w:color w:val="auto"/>
        </w:rPr>
        <w:t>any transacton or mater contemplated by, arising out of, or in connecton with a Pertnent Document; or</w:t>
      </w:r>
    </w:p>
    <w:p>
      <w:pPr>
        <w:spacing w:after="0" w:line="182"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58" w:name="page159"/>
    <w:bookmarkEnd w:id="158"/>
    <w:p>
      <w:pPr>
        <w:ind w:left="600" w:hanging="599"/>
        <w:spacing w:after="0"/>
        <w:tabs>
          <w:tab w:leader="none" w:pos="600" w:val="left"/>
        </w:tabs>
        <w:numPr>
          <w:ilvl w:val="0"/>
          <w:numId w:val="194"/>
        </w:numPr>
        <w:rPr>
          <w:rFonts w:ascii="Calibri" w:cs="Calibri" w:eastAsia="Calibri" w:hAnsi="Calibri"/>
          <w:sz w:val="18"/>
          <w:szCs w:val="18"/>
          <w:color w:val="auto"/>
        </w:rPr>
      </w:pPr>
      <w:r>
        <w:rPr>
          <w:rFonts w:ascii="Calibri" w:cs="Calibri" w:eastAsia="Calibri" w:hAnsi="Calibri"/>
          <w:sz w:val="18"/>
          <w:szCs w:val="18"/>
          <w:color w:val="auto"/>
        </w:rPr>
        <w:t>any statement relatng to a Pertnent Document or to a transacton or mater falling within paragraph (a),</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and covers any such transacton, mater or statement, whether entered into, arising or made at any tme before the signing of this Agreement or on or at any tme afer that signing.</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Potental Event of Default</w:t>
      </w:r>
      <w:r>
        <w:rPr>
          <w:rFonts w:ascii="Calibri" w:cs="Calibri" w:eastAsia="Calibri" w:hAnsi="Calibri"/>
          <w:sz w:val="18"/>
          <w:szCs w:val="18"/>
          <w:color w:val="auto"/>
        </w:rPr>
        <w:t>" means an event or circumstance which, with the giving of any notce, the lapse of tme, a determinaton of the Majority Lenders and/or the satsfacton of any other conditon, would consttute an Event of Default.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Prepayment Date</w:t>
      </w:r>
      <w:r>
        <w:rPr>
          <w:rFonts w:ascii="Calibri" w:cs="Calibri" w:eastAsia="Calibri" w:hAnsi="Calibri"/>
          <w:sz w:val="18"/>
          <w:szCs w:val="18"/>
          <w:color w:val="auto"/>
        </w:rPr>
        <w:t>" has the meaning given in Clause 15.2.</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Prepayment Notce</w:t>
      </w:r>
      <w:r>
        <w:rPr>
          <w:rFonts w:ascii="Calibri" w:cs="Calibri" w:eastAsia="Calibri" w:hAnsi="Calibri"/>
          <w:sz w:val="18"/>
          <w:szCs w:val="18"/>
          <w:color w:val="auto"/>
        </w:rPr>
        <w:t>" has the meaning given in Clause 8.5(b).</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Reference Rate Terms</w:t>
      </w:r>
      <w:r>
        <w:rPr>
          <w:rFonts w:ascii="Calibri" w:cs="Calibri" w:eastAsia="Calibri" w:hAnsi="Calibri"/>
          <w:sz w:val="18"/>
          <w:szCs w:val="18"/>
          <w:color w:val="auto"/>
        </w:rPr>
        <w:t>" means the terms set out in Schedule 7 or in any Reference Rate Supplement;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Reference Rate Supplement</w:t>
      </w:r>
      <w:r>
        <w:rPr>
          <w:rFonts w:ascii="Calibri" w:cs="Calibri" w:eastAsia="Calibri" w:hAnsi="Calibri"/>
          <w:sz w:val="18"/>
          <w:szCs w:val="18"/>
          <w:color w:val="auto"/>
        </w:rPr>
        <w:t>" means a document which:</w:t>
      </w:r>
    </w:p>
    <w:p>
      <w:pPr>
        <w:spacing w:after="0" w:line="181" w:lineRule="exact"/>
        <w:rPr>
          <w:sz w:val="20"/>
          <w:szCs w:val="20"/>
          <w:color w:val="auto"/>
        </w:rPr>
      </w:pPr>
    </w:p>
    <w:p>
      <w:pPr>
        <w:ind w:left="600" w:hanging="599"/>
        <w:spacing w:after="0"/>
        <w:tabs>
          <w:tab w:leader="none" w:pos="600" w:val="left"/>
        </w:tabs>
        <w:numPr>
          <w:ilvl w:val="0"/>
          <w:numId w:val="195"/>
        </w:numPr>
        <w:rPr>
          <w:rFonts w:ascii="Calibri" w:cs="Calibri" w:eastAsia="Calibri" w:hAnsi="Calibri"/>
          <w:sz w:val="18"/>
          <w:szCs w:val="18"/>
          <w:color w:val="auto"/>
        </w:rPr>
      </w:pPr>
      <w:r>
        <w:rPr>
          <w:rFonts w:ascii="Calibri" w:cs="Calibri" w:eastAsia="Calibri" w:hAnsi="Calibri"/>
          <w:sz w:val="18"/>
          <w:szCs w:val="18"/>
          <w:color w:val="auto"/>
        </w:rPr>
        <w:t>is agreed in writng by the Borrower and the Agent (in its own capacity) and the Agent (actng on the instructons of the Lenders);</w:t>
      </w:r>
    </w:p>
    <w:p>
      <w:pPr>
        <w:spacing w:after="0" w:line="183" w:lineRule="exact"/>
        <w:rPr>
          <w:rFonts w:ascii="Calibri" w:cs="Calibri" w:eastAsia="Calibri" w:hAnsi="Calibri"/>
          <w:sz w:val="18"/>
          <w:szCs w:val="18"/>
          <w:color w:val="auto"/>
        </w:rPr>
      </w:pPr>
    </w:p>
    <w:p>
      <w:pPr>
        <w:ind w:left="600" w:hanging="599"/>
        <w:spacing w:after="0"/>
        <w:tabs>
          <w:tab w:leader="none" w:pos="600" w:val="left"/>
        </w:tabs>
        <w:numPr>
          <w:ilvl w:val="0"/>
          <w:numId w:val="195"/>
        </w:numPr>
        <w:rPr>
          <w:rFonts w:ascii="Calibri" w:cs="Calibri" w:eastAsia="Calibri" w:hAnsi="Calibri"/>
          <w:sz w:val="18"/>
          <w:szCs w:val="18"/>
          <w:color w:val="auto"/>
        </w:rPr>
      </w:pPr>
      <w:r>
        <w:rPr>
          <w:rFonts w:ascii="Calibri" w:cs="Calibri" w:eastAsia="Calibri" w:hAnsi="Calibri"/>
          <w:sz w:val="18"/>
          <w:szCs w:val="18"/>
          <w:color w:val="auto"/>
        </w:rPr>
        <w:t>specifes the relevant terms which are expressed in this Agreement to be determined by reference to the Reference Rate Terms; and</w:t>
      </w:r>
    </w:p>
    <w:p>
      <w:pPr>
        <w:spacing w:after="0" w:line="379" w:lineRule="exact"/>
        <w:rPr>
          <w:rFonts w:ascii="Calibri" w:cs="Calibri" w:eastAsia="Calibri" w:hAnsi="Calibri"/>
          <w:sz w:val="18"/>
          <w:szCs w:val="18"/>
          <w:color w:val="auto"/>
        </w:rPr>
      </w:pPr>
    </w:p>
    <w:p>
      <w:pPr>
        <w:ind w:left="600" w:hanging="599"/>
        <w:spacing w:after="0"/>
        <w:tabs>
          <w:tab w:leader="none" w:pos="600" w:val="left"/>
        </w:tabs>
        <w:numPr>
          <w:ilvl w:val="0"/>
          <w:numId w:val="195"/>
        </w:numPr>
        <w:rPr>
          <w:rFonts w:ascii="Calibri" w:cs="Calibri" w:eastAsia="Calibri" w:hAnsi="Calibri"/>
          <w:sz w:val="18"/>
          <w:szCs w:val="18"/>
          <w:color w:val="auto"/>
        </w:rPr>
      </w:pPr>
      <w:r>
        <w:rPr>
          <w:rFonts w:ascii="Calibri" w:cs="Calibri" w:eastAsia="Calibri" w:hAnsi="Calibri"/>
          <w:sz w:val="18"/>
          <w:szCs w:val="18"/>
          <w:color w:val="auto"/>
        </w:rPr>
        <w:t>has been made available to the Borrower and each Creditor Party;</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Relevant Market</w:t>
      </w:r>
      <w:r>
        <w:rPr>
          <w:rFonts w:ascii="Calibri" w:cs="Calibri" w:eastAsia="Calibri" w:hAnsi="Calibri"/>
          <w:sz w:val="18"/>
          <w:szCs w:val="18"/>
          <w:color w:val="auto"/>
        </w:rPr>
        <w:t>" means the market specifed as such in the Reference Rate Terms;</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Relevant Nominatng Body</w:t>
      </w:r>
      <w:r>
        <w:rPr>
          <w:rFonts w:ascii="Calibri" w:cs="Calibri" w:eastAsia="Calibri" w:hAnsi="Calibri"/>
          <w:sz w:val="18"/>
          <w:szCs w:val="18"/>
          <w:color w:val="auto"/>
        </w:rPr>
        <w:t>" means any applicable central bank, regulator or other supervisory authority or a group of them, or any working group or commitee sponsored or chaired by, or consttuted at the request of, any of them or the Financial Stability Board;</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Relevant Person</w:t>
      </w:r>
      <w:r>
        <w:rPr>
          <w:rFonts w:ascii="Calibri" w:cs="Calibri" w:eastAsia="Calibri" w:hAnsi="Calibri"/>
          <w:sz w:val="18"/>
          <w:szCs w:val="18"/>
          <w:color w:val="auto"/>
        </w:rPr>
        <w:t>" has the meaning given in Clause 19.9.</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Repayment Date</w:t>
      </w:r>
      <w:r>
        <w:rPr>
          <w:rFonts w:ascii="Calibri" w:cs="Calibri" w:eastAsia="Calibri" w:hAnsi="Calibri"/>
          <w:sz w:val="18"/>
          <w:szCs w:val="18"/>
          <w:color w:val="auto"/>
        </w:rPr>
        <w:t>" means a date on which a repayment is required to be made under Clause 8.</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Replacement Reference Rate</w:t>
      </w:r>
      <w:r>
        <w:rPr>
          <w:rFonts w:ascii="Calibri" w:cs="Calibri" w:eastAsia="Calibri" w:hAnsi="Calibri"/>
          <w:sz w:val="18"/>
          <w:szCs w:val="18"/>
          <w:color w:val="auto"/>
        </w:rPr>
        <w:t>" means a reference rate which is:</w:t>
      </w:r>
    </w:p>
    <w:p>
      <w:pPr>
        <w:spacing w:after="0" w:line="181" w:lineRule="exact"/>
        <w:rPr>
          <w:sz w:val="20"/>
          <w:szCs w:val="20"/>
          <w:color w:val="auto"/>
        </w:rPr>
      </w:pPr>
    </w:p>
    <w:p>
      <w:pPr>
        <w:ind w:left="600" w:hanging="599"/>
        <w:spacing w:after="0"/>
        <w:tabs>
          <w:tab w:leader="none" w:pos="600" w:val="left"/>
        </w:tabs>
        <w:numPr>
          <w:ilvl w:val="0"/>
          <w:numId w:val="196"/>
        </w:numPr>
        <w:rPr>
          <w:rFonts w:ascii="Calibri" w:cs="Calibri" w:eastAsia="Calibri" w:hAnsi="Calibri"/>
          <w:sz w:val="18"/>
          <w:szCs w:val="18"/>
          <w:color w:val="auto"/>
        </w:rPr>
      </w:pPr>
      <w:r>
        <w:rPr>
          <w:rFonts w:ascii="Calibri" w:cs="Calibri" w:eastAsia="Calibri" w:hAnsi="Calibri"/>
          <w:sz w:val="18"/>
          <w:szCs w:val="18"/>
          <w:color w:val="auto"/>
        </w:rPr>
        <w:t>formally designated, nominated or recommended as the replacement for the RFR by:</w:t>
      </w:r>
    </w:p>
    <w:p>
      <w:pPr>
        <w:spacing w:after="0" w:line="183" w:lineRule="exact"/>
        <w:rPr>
          <w:rFonts w:ascii="Calibri" w:cs="Calibri" w:eastAsia="Calibri" w:hAnsi="Calibri"/>
          <w:sz w:val="18"/>
          <w:szCs w:val="18"/>
          <w:color w:val="auto"/>
        </w:rPr>
      </w:pPr>
    </w:p>
    <w:p>
      <w:pPr>
        <w:ind w:left="1200" w:hanging="597"/>
        <w:spacing w:after="0" w:line="228" w:lineRule="auto"/>
        <w:tabs>
          <w:tab w:leader="none" w:pos="1200" w:val="left"/>
        </w:tabs>
        <w:numPr>
          <w:ilvl w:val="1"/>
          <w:numId w:val="196"/>
        </w:numPr>
        <w:rPr>
          <w:rFonts w:ascii="Calibri" w:cs="Calibri" w:eastAsia="Calibri" w:hAnsi="Calibri"/>
          <w:sz w:val="18"/>
          <w:szCs w:val="18"/>
          <w:color w:val="auto"/>
        </w:rPr>
      </w:pPr>
      <w:r>
        <w:rPr>
          <w:rFonts w:ascii="Calibri" w:cs="Calibri" w:eastAsia="Calibri" w:hAnsi="Calibri"/>
          <w:sz w:val="18"/>
          <w:szCs w:val="18"/>
          <w:color w:val="auto"/>
        </w:rPr>
        <w:t>the administrator of the RFR (provided that the market or economic reality that such reference rate measures is the same as that measured by the RFR); or</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196"/>
        </w:numPr>
        <w:rPr>
          <w:rFonts w:ascii="Calibri" w:cs="Calibri" w:eastAsia="Calibri" w:hAnsi="Calibri"/>
          <w:sz w:val="18"/>
          <w:szCs w:val="18"/>
          <w:color w:val="auto"/>
        </w:rPr>
      </w:pPr>
      <w:r>
        <w:rPr>
          <w:rFonts w:ascii="Calibri" w:cs="Calibri" w:eastAsia="Calibri" w:hAnsi="Calibri"/>
          <w:sz w:val="18"/>
          <w:szCs w:val="18"/>
          <w:color w:val="auto"/>
        </w:rPr>
        <w:t>any Relevant Nominatng Body,</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and if replacements have, at the relevant tme, been formally designated, nominated or recommended under both paragraphs, the "Replacement Reference Rate" will be the replacement under paragraph (ii) above;</w:t>
      </w:r>
    </w:p>
    <w:p>
      <w:pPr>
        <w:spacing w:after="0" w:line="184" w:lineRule="exact"/>
        <w:rPr>
          <w:sz w:val="20"/>
          <w:szCs w:val="20"/>
          <w:color w:val="auto"/>
        </w:rPr>
      </w:pPr>
    </w:p>
    <w:p>
      <w:pPr>
        <w:ind w:left="600" w:hanging="599"/>
        <w:spacing w:after="0" w:line="228" w:lineRule="auto"/>
        <w:tabs>
          <w:tab w:leader="none" w:pos="600" w:val="left"/>
        </w:tabs>
        <w:numPr>
          <w:ilvl w:val="0"/>
          <w:numId w:val="197"/>
        </w:numPr>
        <w:rPr>
          <w:rFonts w:ascii="Calibri" w:cs="Calibri" w:eastAsia="Calibri" w:hAnsi="Calibri"/>
          <w:sz w:val="18"/>
          <w:szCs w:val="18"/>
          <w:color w:val="auto"/>
        </w:rPr>
      </w:pPr>
      <w:r>
        <w:rPr>
          <w:rFonts w:ascii="Calibri" w:cs="Calibri" w:eastAsia="Calibri" w:hAnsi="Calibri"/>
          <w:sz w:val="18"/>
          <w:szCs w:val="18"/>
          <w:color w:val="auto"/>
        </w:rPr>
        <w:t>in the opinion of the Lenders, generally accepted in the internatonal or any relevant domestc syndicated loan markets as the appropriate successor to the RFR; or</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7" w:right="339" w:bottom="1440" w:gutter="0" w:footer="0" w:header="0"/>
        </w:sectPr>
      </w:pPr>
    </w:p>
    <w:bookmarkStart w:id="159" w:name="page160"/>
    <w:bookmarkEnd w:id="159"/>
    <w:p>
      <w:pPr>
        <w:ind w:right="3000" w:firstLine="1"/>
        <w:spacing w:after="0" w:line="435" w:lineRule="auto"/>
        <w:tabs>
          <w:tab w:leader="none" w:pos="601" w:val="left"/>
        </w:tabs>
        <w:numPr>
          <w:ilvl w:val="0"/>
          <w:numId w:val="198"/>
        </w:numPr>
        <w:rPr>
          <w:rFonts w:ascii="Calibri" w:cs="Calibri" w:eastAsia="Calibri" w:hAnsi="Calibri"/>
          <w:sz w:val="18"/>
          <w:szCs w:val="18"/>
          <w:color w:val="auto"/>
        </w:rPr>
      </w:pPr>
      <w:r>
        <w:rPr>
          <w:rFonts w:ascii="Calibri" w:cs="Calibri" w:eastAsia="Calibri" w:hAnsi="Calibri"/>
          <w:sz w:val="18"/>
          <w:szCs w:val="18"/>
          <w:color w:val="auto"/>
        </w:rPr>
        <w:t>in the reasonable opinion of the Lenders, an appropriate successor or alternatve to the RFR; "</w:t>
      </w:r>
      <w:r>
        <w:rPr>
          <w:rFonts w:ascii="Calibri" w:cs="Calibri" w:eastAsia="Calibri" w:hAnsi="Calibri"/>
          <w:sz w:val="18"/>
          <w:szCs w:val="18"/>
          <w:b w:val="1"/>
          <w:bCs w:val="1"/>
          <w:color w:val="auto"/>
        </w:rPr>
        <w:t>Reportng Day</w:t>
      </w:r>
      <w:r>
        <w:rPr>
          <w:rFonts w:ascii="Calibri" w:cs="Calibri" w:eastAsia="Calibri" w:hAnsi="Calibri"/>
          <w:sz w:val="18"/>
          <w:szCs w:val="18"/>
          <w:color w:val="auto"/>
        </w:rPr>
        <w:t>" means the day specifed as such in the Reference Rate Terms;</w:t>
      </w:r>
    </w:p>
    <w:p>
      <w:pPr>
        <w:spacing w:after="0" w:line="3"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Reportng Time</w:t>
      </w:r>
      <w:r>
        <w:rPr>
          <w:rFonts w:ascii="Calibri" w:cs="Calibri" w:eastAsia="Calibri" w:hAnsi="Calibri"/>
          <w:sz w:val="18"/>
          <w:szCs w:val="18"/>
          <w:color w:val="auto"/>
        </w:rPr>
        <w:t>" means the relevant tme (if any) specifed as such in the Reference Rate Terms;</w:t>
      </w:r>
    </w:p>
    <w:p>
      <w:pPr>
        <w:spacing w:after="0" w:line="183" w:lineRule="exact"/>
        <w:rPr>
          <w:rFonts w:ascii="Calibri" w:cs="Calibri" w:eastAsia="Calibri" w:hAnsi="Calibri"/>
          <w:sz w:val="18"/>
          <w:szCs w:val="18"/>
          <w:color w:val="auto"/>
        </w:rPr>
      </w:pPr>
    </w:p>
    <w:p>
      <w:pPr>
        <w:ind w:right="2040"/>
        <w:spacing w:after="0" w:line="435" w:lineRule="auto"/>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Resoluton Authority</w:t>
      </w:r>
      <w:r>
        <w:rPr>
          <w:rFonts w:ascii="Calibri" w:cs="Calibri" w:eastAsia="Calibri" w:hAnsi="Calibri"/>
          <w:sz w:val="18"/>
          <w:szCs w:val="18"/>
          <w:color w:val="auto"/>
        </w:rPr>
        <w:t>" means any body which has authority to exercise any Write-down and Conversion Powers. "</w:t>
      </w:r>
      <w:r>
        <w:rPr>
          <w:rFonts w:ascii="Calibri" w:cs="Calibri" w:eastAsia="Calibri" w:hAnsi="Calibri"/>
          <w:sz w:val="18"/>
          <w:szCs w:val="18"/>
          <w:b w:val="1"/>
          <w:bCs w:val="1"/>
          <w:color w:val="auto"/>
        </w:rPr>
        <w:t>Restricted Party</w:t>
      </w:r>
      <w:r>
        <w:rPr>
          <w:rFonts w:ascii="Calibri" w:cs="Calibri" w:eastAsia="Calibri" w:hAnsi="Calibri"/>
          <w:sz w:val="18"/>
          <w:szCs w:val="18"/>
          <w:color w:val="auto"/>
        </w:rPr>
        <w:t>" means a person that is:</w:t>
      </w:r>
    </w:p>
    <w:p>
      <w:pPr>
        <w:spacing w:after="0" w:line="3" w:lineRule="exact"/>
        <w:rPr>
          <w:sz w:val="20"/>
          <w:szCs w:val="20"/>
          <w:color w:val="auto"/>
        </w:rPr>
      </w:pPr>
    </w:p>
    <w:p>
      <w:pPr>
        <w:ind w:left="600" w:hanging="599"/>
        <w:spacing w:after="0"/>
        <w:tabs>
          <w:tab w:leader="none" w:pos="600" w:val="left"/>
        </w:tabs>
        <w:numPr>
          <w:ilvl w:val="0"/>
          <w:numId w:val="199"/>
        </w:numPr>
        <w:rPr>
          <w:rFonts w:ascii="Calibri" w:cs="Calibri" w:eastAsia="Calibri" w:hAnsi="Calibri"/>
          <w:sz w:val="18"/>
          <w:szCs w:val="18"/>
          <w:color w:val="auto"/>
        </w:rPr>
      </w:pPr>
      <w:r>
        <w:rPr>
          <w:rFonts w:ascii="Calibri" w:cs="Calibri" w:eastAsia="Calibri" w:hAnsi="Calibri"/>
          <w:sz w:val="18"/>
          <w:szCs w:val="18"/>
          <w:color w:val="auto"/>
        </w:rPr>
        <w:t>listed on, or owned or controlled by a person listed on any Sanctons List;</w:t>
      </w:r>
    </w:p>
    <w:p>
      <w:pPr>
        <w:spacing w:after="0" w:line="183" w:lineRule="exact"/>
        <w:rPr>
          <w:rFonts w:ascii="Calibri" w:cs="Calibri" w:eastAsia="Calibri" w:hAnsi="Calibri"/>
          <w:sz w:val="18"/>
          <w:szCs w:val="18"/>
          <w:color w:val="auto"/>
        </w:rPr>
      </w:pPr>
    </w:p>
    <w:p>
      <w:pPr>
        <w:jc w:val="both"/>
        <w:ind w:left="600" w:hanging="599"/>
        <w:spacing w:after="0" w:line="225" w:lineRule="auto"/>
        <w:tabs>
          <w:tab w:leader="none" w:pos="600" w:val="left"/>
        </w:tabs>
        <w:numPr>
          <w:ilvl w:val="0"/>
          <w:numId w:val="199"/>
        </w:numPr>
        <w:rPr>
          <w:rFonts w:ascii="Calibri" w:cs="Calibri" w:eastAsia="Calibri" w:hAnsi="Calibri"/>
          <w:sz w:val="18"/>
          <w:szCs w:val="18"/>
          <w:color w:val="auto"/>
        </w:rPr>
      </w:pPr>
      <w:r>
        <w:rPr>
          <w:rFonts w:ascii="Calibri" w:cs="Calibri" w:eastAsia="Calibri" w:hAnsi="Calibri"/>
          <w:sz w:val="18"/>
          <w:szCs w:val="18"/>
          <w:color w:val="auto"/>
        </w:rPr>
        <w:t>located in, organised under the laws of, or owned or controlled by, or actng on behalf of, a person located in or organised under the laws of a country or territory which is a subject of country-wide or territory-wide Sanctons (any such country or territory, a "</w:t>
      </w:r>
      <w:r>
        <w:rPr>
          <w:rFonts w:ascii="Calibri" w:cs="Calibri" w:eastAsia="Calibri" w:hAnsi="Calibri"/>
          <w:sz w:val="18"/>
          <w:szCs w:val="18"/>
          <w:b w:val="1"/>
          <w:bCs w:val="1"/>
          <w:color w:val="auto"/>
        </w:rPr>
        <w:t>Sanctoned Country</w:t>
      </w:r>
      <w:r>
        <w:rPr>
          <w:rFonts w:ascii="Calibri" w:cs="Calibri" w:eastAsia="Calibri" w:hAnsi="Calibri"/>
          <w:sz w:val="18"/>
          <w:szCs w:val="18"/>
          <w:color w:val="auto"/>
        </w:rPr>
        <w:t>"); 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199"/>
        </w:numPr>
        <w:rPr>
          <w:rFonts w:ascii="Calibri" w:cs="Calibri" w:eastAsia="Calibri" w:hAnsi="Calibri"/>
          <w:sz w:val="18"/>
          <w:szCs w:val="18"/>
          <w:color w:val="auto"/>
        </w:rPr>
      </w:pPr>
      <w:r>
        <w:rPr>
          <w:rFonts w:ascii="Calibri" w:cs="Calibri" w:eastAsia="Calibri" w:hAnsi="Calibri"/>
          <w:sz w:val="18"/>
          <w:szCs w:val="18"/>
          <w:color w:val="auto"/>
        </w:rPr>
        <w:t>otherwise a subject of Sanctons.</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Requisiton Compensaton</w:t>
      </w:r>
      <w:r>
        <w:rPr>
          <w:rFonts w:ascii="Calibri" w:cs="Calibri" w:eastAsia="Calibri" w:hAnsi="Calibri"/>
          <w:sz w:val="18"/>
          <w:szCs w:val="18"/>
          <w:color w:val="auto"/>
        </w:rPr>
        <w:t>" includes all compensaton or other moneys payable by reason of any act or event such as is referred to in paragraph (b) of the defniton of "Total Loss".</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Retenton Account</w:t>
      </w:r>
      <w:r>
        <w:rPr>
          <w:rFonts w:ascii="Calibri" w:cs="Calibri" w:eastAsia="Calibri" w:hAnsi="Calibri"/>
          <w:sz w:val="18"/>
          <w:szCs w:val="18"/>
          <w:color w:val="auto"/>
        </w:rPr>
        <w:t>" means an account in the name of the Borrower with the Agent in Hamburg designated "Capital Product Partners L.P. - Retenton Account" and having account number 1200082878 or any other account (with that or another ofce of the Agent) which replaces such account and is designated by the Agent as the Retenton Account for the purposes of this Agreement.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RFR</w:t>
      </w:r>
      <w:r>
        <w:rPr>
          <w:rFonts w:ascii="Calibri" w:cs="Calibri" w:eastAsia="Calibri" w:hAnsi="Calibri"/>
          <w:sz w:val="18"/>
          <w:szCs w:val="18"/>
          <w:color w:val="auto"/>
        </w:rPr>
        <w:t>" means the rate specifed as such in the Reference Rate Terms;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RFR Banking Day</w:t>
      </w:r>
      <w:r>
        <w:rPr>
          <w:rFonts w:ascii="Calibri" w:cs="Calibri" w:eastAsia="Calibri" w:hAnsi="Calibri"/>
          <w:sz w:val="18"/>
          <w:szCs w:val="18"/>
          <w:color w:val="auto"/>
        </w:rPr>
        <w:t>" means any day specifed as such in the Reference Rate Terms;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RFR Replacement Event</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200"/>
        </w:numPr>
        <w:rPr>
          <w:rFonts w:ascii="Calibri" w:cs="Calibri" w:eastAsia="Calibri" w:hAnsi="Calibri"/>
          <w:sz w:val="18"/>
          <w:szCs w:val="18"/>
          <w:color w:val="auto"/>
        </w:rPr>
      </w:pPr>
      <w:r>
        <w:rPr>
          <w:rFonts w:ascii="Calibri" w:cs="Calibri" w:eastAsia="Calibri" w:hAnsi="Calibri"/>
          <w:sz w:val="18"/>
          <w:szCs w:val="18"/>
          <w:color w:val="auto"/>
        </w:rPr>
        <w:t>the methodology, formula or other means of determining the RFR has, in the opinion of the Lenders, materially changed;</w:t>
      </w:r>
    </w:p>
    <w:p>
      <w:pPr>
        <w:spacing w:after="0" w:line="183" w:lineRule="exact"/>
        <w:rPr>
          <w:rFonts w:ascii="Calibri" w:cs="Calibri" w:eastAsia="Calibri" w:hAnsi="Calibri"/>
          <w:sz w:val="18"/>
          <w:szCs w:val="18"/>
          <w:color w:val="auto"/>
        </w:rPr>
      </w:pPr>
    </w:p>
    <w:p>
      <w:pPr>
        <w:spacing w:after="0"/>
        <w:tabs>
          <w:tab w:leader="none" w:pos="0" w:val="left"/>
        </w:tabs>
        <w:numPr>
          <w:ilvl w:val="0"/>
          <w:numId w:val="200"/>
        </w:numPr>
        <w:rPr>
          <w:rFonts w:ascii="Calibri" w:cs="Calibri" w:eastAsia="Calibri" w:hAnsi="Calibri"/>
          <w:sz w:val="18"/>
          <w:szCs w:val="18"/>
          <w:color w:val="auto"/>
        </w:rPr>
      </w:pPr>
    </w:p>
    <w:p>
      <w:pPr>
        <w:spacing w:after="0" w:line="179" w:lineRule="exact"/>
        <w:rPr>
          <w:rFonts w:ascii="Calibri" w:cs="Calibri" w:eastAsia="Calibri" w:hAnsi="Calibri"/>
          <w:sz w:val="18"/>
          <w:szCs w:val="18"/>
          <w:color w:val="auto"/>
        </w:rPr>
      </w:pPr>
    </w:p>
    <w:p>
      <w:pPr>
        <w:ind w:left="1200" w:hanging="597"/>
        <w:spacing w:after="0"/>
        <w:tabs>
          <w:tab w:leader="none" w:pos="1200" w:val="left"/>
        </w:tabs>
        <w:numPr>
          <w:ilvl w:val="1"/>
          <w:numId w:val="200"/>
        </w:numPr>
        <w:rPr>
          <w:rFonts w:ascii="Calibri" w:cs="Calibri" w:eastAsia="Calibri" w:hAnsi="Calibri"/>
          <w:sz w:val="18"/>
          <w:szCs w:val="18"/>
          <w:color w:val="auto"/>
        </w:rPr>
      </w:pPr>
      <w:r>
        <w:rPr>
          <w:rFonts w:ascii="Calibri" w:cs="Calibri" w:eastAsia="Calibri" w:hAnsi="Calibri"/>
          <w:sz w:val="18"/>
          <w:szCs w:val="18"/>
          <w:color w:val="auto"/>
        </w:rPr>
        <w:t>the administrator of the RFR or its supervisor publicly announces that such administrator is insolvent; or</w:t>
      </w:r>
    </w:p>
    <w:p>
      <w:pPr>
        <w:spacing w:after="0" w:line="183" w:lineRule="exact"/>
        <w:rPr>
          <w:rFonts w:ascii="Calibri" w:cs="Calibri" w:eastAsia="Calibri" w:hAnsi="Calibri"/>
          <w:sz w:val="18"/>
          <w:szCs w:val="18"/>
          <w:color w:val="auto"/>
        </w:rPr>
      </w:pPr>
    </w:p>
    <w:p>
      <w:pPr>
        <w:jc w:val="both"/>
        <w:ind w:left="1200" w:hanging="597"/>
        <w:spacing w:after="0" w:line="225" w:lineRule="auto"/>
        <w:tabs>
          <w:tab w:leader="none" w:pos="1200" w:val="left"/>
        </w:tabs>
        <w:numPr>
          <w:ilvl w:val="1"/>
          <w:numId w:val="200"/>
        </w:numPr>
        <w:rPr>
          <w:rFonts w:ascii="Calibri" w:cs="Calibri" w:eastAsia="Calibri" w:hAnsi="Calibri"/>
          <w:sz w:val="18"/>
          <w:szCs w:val="18"/>
          <w:color w:val="auto"/>
        </w:rPr>
      </w:pPr>
      <w:r>
        <w:rPr>
          <w:rFonts w:ascii="Calibri" w:cs="Calibri" w:eastAsia="Calibri" w:hAnsi="Calibri"/>
          <w:sz w:val="18"/>
          <w:szCs w:val="18"/>
          <w:color w:val="auto"/>
        </w:rPr>
        <w:t>informaton is published in any order, decree, notce, petton or fling, however described, of or fled with a court, tribunal, exchange, regulatory authority or similar administratve, regulatory or judicial body which reasonably confrms that the administrator of the RFR is insolvent,</w:t>
      </w:r>
    </w:p>
    <w:p>
      <w:pPr>
        <w:spacing w:after="0" w:line="181" w:lineRule="exact"/>
        <w:rPr>
          <w:rFonts w:ascii="Calibri" w:cs="Calibri" w:eastAsia="Calibri" w:hAnsi="Calibri"/>
          <w:sz w:val="18"/>
          <w:szCs w:val="18"/>
          <w:color w:val="auto"/>
        </w:rPr>
      </w:pPr>
    </w:p>
    <w:p>
      <w:pPr>
        <w:ind w:left="1200"/>
        <w:spacing w:after="0"/>
        <w:rPr>
          <w:rFonts w:ascii="Calibri" w:cs="Calibri" w:eastAsia="Calibri" w:hAnsi="Calibri"/>
          <w:sz w:val="18"/>
          <w:szCs w:val="18"/>
          <w:color w:val="auto"/>
        </w:rPr>
      </w:pPr>
      <w:r>
        <w:rPr>
          <w:rFonts w:ascii="Calibri" w:cs="Calibri" w:eastAsia="Calibri" w:hAnsi="Calibri"/>
          <w:sz w:val="18"/>
          <w:szCs w:val="18"/>
          <w:color w:val="auto"/>
        </w:rPr>
        <w:t>provided that, in each case, at that tme, there is no successor administrator to contnue to provide the RFR;</w:t>
      </w:r>
    </w:p>
    <w:p>
      <w:pPr>
        <w:spacing w:after="0" w:line="182"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60" w:name="page161"/>
    <w:bookmarkEnd w:id="160"/>
    <w:p>
      <w:pPr>
        <w:ind w:left="600" w:hanging="599"/>
        <w:spacing w:after="0" w:line="228" w:lineRule="auto"/>
        <w:tabs>
          <w:tab w:leader="none" w:pos="600" w:val="left"/>
        </w:tabs>
        <w:numPr>
          <w:ilvl w:val="0"/>
          <w:numId w:val="201"/>
        </w:numPr>
        <w:rPr>
          <w:rFonts w:ascii="Calibri" w:cs="Calibri" w:eastAsia="Calibri" w:hAnsi="Calibri"/>
          <w:sz w:val="18"/>
          <w:szCs w:val="18"/>
          <w:color w:val="auto"/>
        </w:rPr>
      </w:pPr>
      <w:r>
        <w:rPr>
          <w:rFonts w:ascii="Calibri" w:cs="Calibri" w:eastAsia="Calibri" w:hAnsi="Calibri"/>
          <w:sz w:val="18"/>
          <w:szCs w:val="18"/>
          <w:color w:val="auto"/>
        </w:rPr>
        <w:t>the administrator of the RFR publicly announces that it has ceased or will cease, to provide the RFR permanently or indefnitely and, at that tme, there is no successor administrator to contnue to provide the RFR;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1"/>
        </w:numPr>
        <w:rPr>
          <w:rFonts w:ascii="Calibri" w:cs="Calibri" w:eastAsia="Calibri" w:hAnsi="Calibri"/>
          <w:sz w:val="18"/>
          <w:szCs w:val="18"/>
          <w:color w:val="auto"/>
        </w:rPr>
      </w:pPr>
      <w:r>
        <w:rPr>
          <w:rFonts w:ascii="Calibri" w:cs="Calibri" w:eastAsia="Calibri" w:hAnsi="Calibri"/>
          <w:sz w:val="18"/>
          <w:szCs w:val="18"/>
          <w:color w:val="auto"/>
        </w:rPr>
        <w:t>the supervisor of the administrator of the RFR publicly announces that the RFR has been or will be permanently or indefnitely discontnued; 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1"/>
        </w:numPr>
        <w:rPr>
          <w:rFonts w:ascii="Calibri" w:cs="Calibri" w:eastAsia="Calibri" w:hAnsi="Calibri"/>
          <w:sz w:val="18"/>
          <w:szCs w:val="18"/>
          <w:color w:val="auto"/>
        </w:rPr>
      </w:pPr>
      <w:r>
        <w:rPr>
          <w:rFonts w:ascii="Calibri" w:cs="Calibri" w:eastAsia="Calibri" w:hAnsi="Calibri"/>
          <w:sz w:val="18"/>
          <w:szCs w:val="18"/>
          <w:color w:val="auto"/>
        </w:rPr>
        <w:t>the administrator of the RFR or its supervisor publicly announces that the RFR may no longer be used; or</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201"/>
        </w:numPr>
        <w:rPr>
          <w:rFonts w:ascii="Calibri" w:cs="Calibri" w:eastAsia="Calibri" w:hAnsi="Calibri"/>
          <w:sz w:val="18"/>
          <w:szCs w:val="18"/>
          <w:color w:val="auto"/>
        </w:rPr>
      </w:pPr>
      <w:r>
        <w:rPr>
          <w:rFonts w:ascii="Calibri" w:cs="Calibri" w:eastAsia="Calibri" w:hAnsi="Calibri"/>
          <w:sz w:val="18"/>
          <w:szCs w:val="18"/>
          <w:color w:val="auto"/>
        </w:rPr>
        <w:t>the administrator of the RFR (or the administrator of an interest rate which is a consttuent element of the RFR) determines that the RFR should be calculated in accordance with its reduced submissions or other contngency or fallback policies or arrangements and either:</w:t>
      </w:r>
    </w:p>
    <w:p>
      <w:pPr>
        <w:spacing w:after="0" w:line="360" w:lineRule="exact"/>
        <w:rPr>
          <w:rFonts w:ascii="Calibri" w:cs="Calibri" w:eastAsia="Calibri" w:hAnsi="Calibri"/>
          <w:sz w:val="18"/>
          <w:szCs w:val="18"/>
          <w:color w:val="auto"/>
        </w:rPr>
      </w:pPr>
    </w:p>
    <w:p>
      <w:pPr>
        <w:ind w:left="1200" w:hanging="597"/>
        <w:spacing w:after="0"/>
        <w:tabs>
          <w:tab w:leader="none" w:pos="1200" w:val="left"/>
        </w:tabs>
        <w:numPr>
          <w:ilvl w:val="1"/>
          <w:numId w:val="201"/>
        </w:numPr>
        <w:rPr>
          <w:rFonts w:ascii="Calibri" w:cs="Calibri" w:eastAsia="Calibri" w:hAnsi="Calibri"/>
          <w:sz w:val="18"/>
          <w:szCs w:val="18"/>
          <w:color w:val="auto"/>
        </w:rPr>
      </w:pPr>
      <w:r>
        <w:rPr>
          <w:rFonts w:ascii="Calibri" w:cs="Calibri" w:eastAsia="Calibri" w:hAnsi="Calibri"/>
          <w:sz w:val="18"/>
          <w:szCs w:val="18"/>
          <w:color w:val="auto"/>
        </w:rPr>
        <w:t>the circumstance(s) or event(s) leading to such determinaton are not (in the opinion of the Lenders) temporary; or</w:t>
      </w:r>
    </w:p>
    <w:p>
      <w:pPr>
        <w:spacing w:after="0" w:line="183" w:lineRule="exact"/>
        <w:rPr>
          <w:rFonts w:ascii="Calibri" w:cs="Calibri" w:eastAsia="Calibri" w:hAnsi="Calibri"/>
          <w:sz w:val="18"/>
          <w:szCs w:val="18"/>
          <w:color w:val="auto"/>
        </w:rPr>
      </w:pPr>
    </w:p>
    <w:p>
      <w:pPr>
        <w:ind w:left="1200" w:hanging="597"/>
        <w:spacing w:after="0" w:line="228" w:lineRule="auto"/>
        <w:tabs>
          <w:tab w:leader="none" w:pos="1200" w:val="left"/>
        </w:tabs>
        <w:numPr>
          <w:ilvl w:val="1"/>
          <w:numId w:val="201"/>
        </w:numPr>
        <w:rPr>
          <w:rFonts w:ascii="Calibri" w:cs="Calibri" w:eastAsia="Calibri" w:hAnsi="Calibri"/>
          <w:sz w:val="18"/>
          <w:szCs w:val="18"/>
          <w:color w:val="auto"/>
        </w:rPr>
      </w:pPr>
      <w:r>
        <w:rPr>
          <w:rFonts w:ascii="Calibri" w:cs="Calibri" w:eastAsia="Calibri" w:hAnsi="Calibri"/>
          <w:sz w:val="18"/>
          <w:szCs w:val="18"/>
          <w:color w:val="auto"/>
        </w:rPr>
        <w:t>the RFR is calculated in accordance with any such policy or arrangement for a period which is no less than 10 Additonal Business Days;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1"/>
        </w:numPr>
        <w:rPr>
          <w:rFonts w:ascii="Calibri" w:cs="Calibri" w:eastAsia="Calibri" w:hAnsi="Calibri"/>
          <w:sz w:val="18"/>
          <w:szCs w:val="18"/>
          <w:color w:val="auto"/>
        </w:rPr>
      </w:pPr>
      <w:r>
        <w:rPr>
          <w:rFonts w:ascii="Calibri" w:cs="Calibri" w:eastAsia="Calibri" w:hAnsi="Calibri"/>
          <w:sz w:val="18"/>
          <w:szCs w:val="18"/>
          <w:color w:val="auto"/>
        </w:rPr>
        <w:t>in the opinion of the Lenders and the Borrower, the RFR is otherwise no longer appropriate for the purposes of calculatng interest under this Agreement;</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Sanctons</w:t>
      </w:r>
      <w:r>
        <w:rPr>
          <w:rFonts w:ascii="Calibri" w:cs="Calibri" w:eastAsia="Calibri" w:hAnsi="Calibri"/>
          <w:sz w:val="18"/>
          <w:szCs w:val="18"/>
          <w:color w:val="auto"/>
        </w:rPr>
        <w:t>" means any trade, economic or fnancial sanctons laws, regulatons, embargoes or restrictve measures administered, enacted or enforced by:</w:t>
      </w:r>
    </w:p>
    <w:p>
      <w:pPr>
        <w:spacing w:after="0" w:line="182" w:lineRule="exact"/>
        <w:rPr>
          <w:sz w:val="20"/>
          <w:szCs w:val="20"/>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the Security Council of the United Natons;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the United States;</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the United Kingdom;</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the European Union;</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any member state of the European Union;</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any country to which any Security Party or the Borrower or any Approved Manager or any afliate of any of them is bound; or</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202"/>
        </w:numPr>
        <w:rPr>
          <w:rFonts w:ascii="Calibri" w:cs="Calibri" w:eastAsia="Calibri" w:hAnsi="Calibri"/>
          <w:sz w:val="18"/>
          <w:szCs w:val="18"/>
          <w:color w:val="auto"/>
        </w:rPr>
      </w:pPr>
      <w:r>
        <w:rPr>
          <w:rFonts w:ascii="Calibri" w:cs="Calibri" w:eastAsia="Calibri" w:hAnsi="Calibri"/>
          <w:sz w:val="18"/>
          <w:szCs w:val="18"/>
          <w:color w:val="auto"/>
        </w:rPr>
        <w:t>the governments and ofcial insttutons or agencies of any of the foregoing, including without limitaton, the Ofce of Foreign Assets Control of the US Department of Treasury ("</w:t>
      </w:r>
      <w:r>
        <w:rPr>
          <w:rFonts w:ascii="Calibri" w:cs="Calibri" w:eastAsia="Calibri" w:hAnsi="Calibri"/>
          <w:sz w:val="18"/>
          <w:szCs w:val="18"/>
          <w:b w:val="1"/>
          <w:bCs w:val="1"/>
          <w:color w:val="auto"/>
        </w:rPr>
        <w:t>OFAC</w:t>
      </w:r>
      <w:r>
        <w:rPr>
          <w:rFonts w:ascii="Calibri" w:cs="Calibri" w:eastAsia="Calibri" w:hAnsi="Calibri"/>
          <w:sz w:val="18"/>
          <w:szCs w:val="18"/>
          <w:color w:val="auto"/>
        </w:rPr>
        <w:t>"), the United States Department of State, and Her Majesty’s Treasury ("</w:t>
      </w:r>
      <w:r>
        <w:rPr>
          <w:rFonts w:ascii="Calibri" w:cs="Calibri" w:eastAsia="Calibri" w:hAnsi="Calibri"/>
          <w:sz w:val="18"/>
          <w:szCs w:val="18"/>
          <w:b w:val="1"/>
          <w:bCs w:val="1"/>
          <w:color w:val="auto"/>
        </w:rPr>
        <w:t>HMT</w:t>
      </w:r>
      <w:r>
        <w:rPr>
          <w:rFonts w:ascii="Calibri" w:cs="Calibri" w:eastAsia="Calibri" w:hAnsi="Calibri"/>
          <w:sz w:val="18"/>
          <w:szCs w:val="18"/>
          <w:color w:val="auto"/>
        </w:rPr>
        <w:t>")</w:t>
      </w:r>
    </w:p>
    <w:p>
      <w:pPr>
        <w:spacing w:after="0" w:line="360" w:lineRule="exact"/>
        <w:rPr>
          <w:sz w:val="20"/>
          <w:szCs w:val="20"/>
          <w:color w:val="auto"/>
        </w:rPr>
      </w:pPr>
    </w:p>
    <w:p>
      <w:pPr>
        <w:spacing w:after="0"/>
        <w:rPr>
          <w:sz w:val="20"/>
          <w:szCs w:val="20"/>
          <w:color w:val="auto"/>
        </w:rPr>
      </w:pPr>
      <w:r>
        <w:rPr>
          <w:rFonts w:ascii="Calibri" w:cs="Calibri" w:eastAsia="Calibri" w:hAnsi="Calibri"/>
          <w:sz w:val="18"/>
          <w:szCs w:val="18"/>
          <w:color w:val="auto"/>
        </w:rPr>
        <w:t>((a) to (g) together "</w:t>
      </w:r>
      <w:r>
        <w:rPr>
          <w:rFonts w:ascii="Calibri" w:cs="Calibri" w:eastAsia="Calibri" w:hAnsi="Calibri"/>
          <w:sz w:val="18"/>
          <w:szCs w:val="18"/>
          <w:b w:val="1"/>
          <w:bCs w:val="1"/>
          <w:color w:val="auto"/>
        </w:rPr>
        <w:t>Sanctons Authorites</w:t>
      </w:r>
      <w:r>
        <w:rPr>
          <w:rFonts w:ascii="Calibri" w:cs="Calibri" w:eastAsia="Calibri" w:hAnsi="Calibri"/>
          <w:sz w:val="18"/>
          <w:szCs w:val="18"/>
          <w:color w:val="auto"/>
        </w:rPr>
        <w:t>" and each a "</w:t>
      </w:r>
      <w:r>
        <w:rPr>
          <w:rFonts w:ascii="Calibri" w:cs="Calibri" w:eastAsia="Calibri" w:hAnsi="Calibri"/>
          <w:sz w:val="18"/>
          <w:szCs w:val="18"/>
          <w:b w:val="1"/>
          <w:bCs w:val="1"/>
          <w:color w:val="auto"/>
        </w:rPr>
        <w:t>Sanctons Authority</w:t>
      </w:r>
      <w:r>
        <w:rPr>
          <w:rFonts w:ascii="Calibri" w:cs="Calibri" w:eastAsia="Calibri" w:hAnsi="Calibri"/>
          <w:sz w:val="18"/>
          <w:szCs w:val="18"/>
          <w:color w:val="auto"/>
        </w:rPr>
        <w:t>").</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Sanctons List</w:t>
      </w:r>
      <w:r>
        <w:rPr>
          <w:rFonts w:ascii="Calibri" w:cs="Calibri" w:eastAsia="Calibri" w:hAnsi="Calibri"/>
          <w:sz w:val="18"/>
          <w:szCs w:val="18"/>
          <w:color w:val="auto"/>
        </w:rPr>
        <w:t>" means the "Specially Designated Natonals and Blocked Persons" list maintained by OFAC, the "Consolidated List of Financial Sanctons Targets and Investment Ban List" maintained by HMT, or any similar list maintained by, or public announcement of a Sanctons designaton made by, a Sanctons Authority, each as amended, supplemented or substtuted from tme to tme.</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61" w:name="page162"/>
    <w:bookmarkEnd w:id="161"/>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Sale and Purchase Agreement</w:t>
      </w:r>
      <w:r>
        <w:rPr>
          <w:rFonts w:ascii="Calibri" w:cs="Calibri" w:eastAsia="Calibri" w:hAnsi="Calibri"/>
          <w:sz w:val="18"/>
          <w:szCs w:val="18"/>
          <w:color w:val="auto"/>
        </w:rPr>
        <w:t>" means the Sale and Purchase Agreement made between (i) Capital Maritme &amp; Trading Corp as seller and</w:t>
      </w:r>
    </w:p>
    <w:p>
      <w:pPr>
        <w:ind w:firstLine="1"/>
        <w:spacing w:after="0"/>
        <w:tabs>
          <w:tab w:leader="none" w:pos="255" w:val="left"/>
        </w:tabs>
        <w:numPr>
          <w:ilvl w:val="0"/>
          <w:numId w:val="203"/>
        </w:numPr>
        <w:rPr>
          <w:rFonts w:ascii="Calibri" w:cs="Calibri" w:eastAsia="Calibri" w:hAnsi="Calibri"/>
          <w:sz w:val="18"/>
          <w:szCs w:val="18"/>
          <w:color w:val="auto"/>
        </w:rPr>
      </w:pPr>
      <w:r>
        <w:rPr>
          <w:rFonts w:ascii="Calibri" w:cs="Calibri" w:eastAsia="Calibri" w:hAnsi="Calibri"/>
          <w:sz w:val="18"/>
          <w:szCs w:val="18"/>
          <w:color w:val="auto"/>
        </w:rPr>
        <w:t>the Borrower or another wholly owned subsidiary of the Borrower for the sale and the purchase for 100% of the issued shares of the Owner.</w:t>
      </w:r>
    </w:p>
    <w:p>
      <w:pPr>
        <w:spacing w:after="0" w:line="364"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Secured Liabilites</w:t>
      </w:r>
      <w:r>
        <w:rPr>
          <w:rFonts w:ascii="Calibri" w:cs="Calibri" w:eastAsia="Calibri" w:hAnsi="Calibri"/>
          <w:sz w:val="18"/>
          <w:szCs w:val="18"/>
          <w:color w:val="auto"/>
        </w:rPr>
        <w:t>" means all liabilites which the Borrower, the Owner, the other Security Partes or any of them have, at the date of this Agreement or at any later tme or tmes, under or in connecton with any Finance Document or any judgment relatng to any Finance Document; and for this purpose, there shall be disregarded any total or partal discharge of these liabilites, or variaton of their terms, which is efected by, or in connecton with, any bankruptcy, liquidaton, arrangement or other procedure under the insolvency laws of any country.</w:t>
      </w:r>
    </w:p>
    <w:p>
      <w:pPr>
        <w:spacing w:after="0" w:line="32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Security Cover Rato</w:t>
      </w:r>
      <w:r>
        <w:rPr>
          <w:rFonts w:ascii="Calibri" w:cs="Calibri" w:eastAsia="Calibri" w:hAnsi="Calibri"/>
          <w:sz w:val="18"/>
          <w:szCs w:val="18"/>
          <w:color w:val="auto"/>
        </w:rPr>
        <w:t>" means, at any relevant tme, the aggregate of (i) the Market Value of the Ship and (ii) the net realisable value of any acceptable additonal security provided at that tme under Clause 15, at that tme, expressed as a percentage of the Loan.</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Security Interest</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204"/>
        </w:numPr>
        <w:rPr>
          <w:rFonts w:ascii="Calibri" w:cs="Calibri" w:eastAsia="Calibri" w:hAnsi="Calibri"/>
          <w:sz w:val="18"/>
          <w:szCs w:val="18"/>
          <w:color w:val="auto"/>
        </w:rPr>
      </w:pPr>
      <w:r>
        <w:rPr>
          <w:rFonts w:ascii="Calibri" w:cs="Calibri" w:eastAsia="Calibri" w:hAnsi="Calibri"/>
          <w:sz w:val="18"/>
          <w:szCs w:val="18"/>
          <w:color w:val="auto"/>
        </w:rPr>
        <w:t>a mortgage, charge (whether fxed or foatng) or pledge, any maritme or other lien or any other security interest of any kind;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4"/>
        </w:numPr>
        <w:rPr>
          <w:rFonts w:ascii="Calibri" w:cs="Calibri" w:eastAsia="Calibri" w:hAnsi="Calibri"/>
          <w:sz w:val="18"/>
          <w:szCs w:val="18"/>
          <w:color w:val="auto"/>
        </w:rPr>
      </w:pPr>
      <w:r>
        <w:rPr>
          <w:rFonts w:ascii="Calibri" w:cs="Calibri" w:eastAsia="Calibri" w:hAnsi="Calibri"/>
          <w:sz w:val="18"/>
          <w:szCs w:val="18"/>
          <w:color w:val="auto"/>
        </w:rPr>
        <w:t>the rights of a plaintf under an acton in rem in which the vessel concerned has been arrested or a writ has been issued or similar step taken; and</w:t>
      </w:r>
    </w:p>
    <w:p>
      <w:pPr>
        <w:spacing w:after="0" w:line="183" w:lineRule="exact"/>
        <w:rPr>
          <w:rFonts w:ascii="Calibri" w:cs="Calibri" w:eastAsia="Calibri" w:hAnsi="Calibri"/>
          <w:sz w:val="18"/>
          <w:szCs w:val="18"/>
          <w:color w:val="auto"/>
        </w:rPr>
      </w:pPr>
    </w:p>
    <w:p>
      <w:pPr>
        <w:jc w:val="both"/>
        <w:ind w:left="600" w:hanging="599"/>
        <w:spacing w:after="0"/>
        <w:tabs>
          <w:tab w:leader="none" w:pos="600" w:val="left"/>
        </w:tabs>
        <w:numPr>
          <w:ilvl w:val="0"/>
          <w:numId w:val="204"/>
        </w:numPr>
        <w:rPr>
          <w:rFonts w:ascii="Calibri" w:cs="Calibri" w:eastAsia="Calibri" w:hAnsi="Calibri"/>
          <w:sz w:val="18"/>
          <w:szCs w:val="18"/>
          <w:color w:val="auto"/>
        </w:rPr>
      </w:pPr>
      <w:r>
        <w:rPr>
          <w:rFonts w:ascii="Calibri" w:cs="Calibri" w:eastAsia="Calibri" w:hAnsi="Calibri"/>
          <w:sz w:val="18"/>
          <w:szCs w:val="18"/>
          <w:color w:val="auto"/>
        </w:rPr>
        <w:t>any arrangement entered into by a person (A) the efect of which is to place another person (B) in a positon which is similar, in economic terms, to the positon in which B would have been had he held a security interest over an asset of A; but paragraph (c) does not apply to a right of set of or combinaton of accounts conferred by the standard terms of business of a bank or fnancial insttuton.</w:t>
      </w:r>
    </w:p>
    <w:p>
      <w:pPr>
        <w:spacing w:after="0" w:line="343"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Security Party</w:t>
      </w:r>
      <w:r>
        <w:rPr>
          <w:rFonts w:ascii="Calibri" w:cs="Calibri" w:eastAsia="Calibri" w:hAnsi="Calibri"/>
          <w:sz w:val="18"/>
          <w:szCs w:val="18"/>
          <w:color w:val="auto"/>
        </w:rPr>
        <w:t>" means the Owner, the Borrower and any other person (except a Creditor Party, any Approved Manager which is not a member of the Group, the Builder and any charterer (other than a bareboat or demise charterer which is a member of Hapag Lloyd)) who, as a surety or mortgagor, as a party to any subordinaton or priorites arrangement, or in any similar capacity, executes a document falling within the fnal paragraph of the defniton of "Finance Documents" and, in the plural, means all of them.</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Security Period</w:t>
      </w:r>
      <w:r>
        <w:rPr>
          <w:rFonts w:ascii="Calibri" w:cs="Calibri" w:eastAsia="Calibri" w:hAnsi="Calibri"/>
          <w:sz w:val="18"/>
          <w:szCs w:val="18"/>
          <w:color w:val="auto"/>
        </w:rPr>
        <w:t>" means the period commencing on the date of this Agreement and ending on the date on which the Agent notfes the</w:t>
      </w:r>
    </w:p>
    <w:p>
      <w:pPr>
        <w:spacing w:after="0" w:line="218" w:lineRule="auto"/>
        <w:rPr>
          <w:sz w:val="20"/>
          <w:szCs w:val="20"/>
          <w:color w:val="auto"/>
        </w:rPr>
      </w:pPr>
      <w:r>
        <w:rPr>
          <w:rFonts w:ascii="Calibri" w:cs="Calibri" w:eastAsia="Calibri" w:hAnsi="Calibri"/>
          <w:sz w:val="18"/>
          <w:szCs w:val="18"/>
          <w:color w:val="auto"/>
        </w:rPr>
        <w:t>Borrower, the Security Partes and the other Creditor Partes that:</w:t>
      </w:r>
    </w:p>
    <w:p>
      <w:pPr>
        <w:spacing w:after="0" w:line="184" w:lineRule="exact"/>
        <w:rPr>
          <w:sz w:val="20"/>
          <w:szCs w:val="20"/>
          <w:color w:val="auto"/>
        </w:rPr>
      </w:pPr>
    </w:p>
    <w:p>
      <w:pPr>
        <w:ind w:left="600" w:hanging="599"/>
        <w:spacing w:after="0" w:line="228" w:lineRule="auto"/>
        <w:tabs>
          <w:tab w:leader="none" w:pos="600" w:val="left"/>
        </w:tabs>
        <w:numPr>
          <w:ilvl w:val="0"/>
          <w:numId w:val="205"/>
        </w:numPr>
        <w:rPr>
          <w:rFonts w:ascii="Calibri" w:cs="Calibri" w:eastAsia="Calibri" w:hAnsi="Calibri"/>
          <w:sz w:val="18"/>
          <w:szCs w:val="18"/>
          <w:color w:val="auto"/>
        </w:rPr>
      </w:pPr>
      <w:r>
        <w:rPr>
          <w:rFonts w:ascii="Calibri" w:cs="Calibri" w:eastAsia="Calibri" w:hAnsi="Calibri"/>
          <w:sz w:val="18"/>
          <w:szCs w:val="18"/>
          <w:color w:val="auto"/>
        </w:rPr>
        <w:t>all amounts which have become due for payment by the Borrower or any Security Party or any Approved Manager under the Finance Documents have been paid;</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05"/>
        </w:numPr>
        <w:rPr>
          <w:rFonts w:ascii="Calibri" w:cs="Calibri" w:eastAsia="Calibri" w:hAnsi="Calibri"/>
          <w:sz w:val="18"/>
          <w:szCs w:val="18"/>
          <w:color w:val="auto"/>
        </w:rPr>
      </w:pPr>
      <w:r>
        <w:rPr>
          <w:rFonts w:ascii="Calibri" w:cs="Calibri" w:eastAsia="Calibri" w:hAnsi="Calibri"/>
          <w:sz w:val="18"/>
          <w:szCs w:val="18"/>
          <w:color w:val="auto"/>
        </w:rPr>
        <w:t>no amount is owing or has accrued (without yet having become due for payment) under any Finance Document;</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5"/>
        </w:numPr>
        <w:rPr>
          <w:rFonts w:ascii="Calibri" w:cs="Calibri" w:eastAsia="Calibri" w:hAnsi="Calibri"/>
          <w:sz w:val="18"/>
          <w:szCs w:val="18"/>
          <w:color w:val="auto"/>
        </w:rPr>
      </w:pPr>
      <w:r>
        <w:rPr>
          <w:rFonts w:ascii="Calibri" w:cs="Calibri" w:eastAsia="Calibri" w:hAnsi="Calibri"/>
          <w:sz w:val="18"/>
          <w:szCs w:val="18"/>
          <w:color w:val="auto"/>
        </w:rPr>
        <w:t>neither the Borrower nor any Security Party nor any Approved Manager has any future or contngent liability under Clauses 20, 21 or 22 or any other provision of this Agreement or another Finance Document; and</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7" w:right="339" w:bottom="1440" w:gutter="0" w:footer="0" w:header="0"/>
        </w:sectPr>
      </w:pPr>
    </w:p>
    <w:bookmarkStart w:id="162" w:name="page163"/>
    <w:bookmarkEnd w:id="162"/>
    <w:p>
      <w:pPr>
        <w:jc w:val="both"/>
        <w:ind w:left="600" w:hanging="599"/>
        <w:spacing w:after="0" w:line="223" w:lineRule="auto"/>
        <w:tabs>
          <w:tab w:leader="none" w:pos="600" w:val="left"/>
        </w:tabs>
        <w:numPr>
          <w:ilvl w:val="0"/>
          <w:numId w:val="206"/>
        </w:numPr>
        <w:rPr>
          <w:rFonts w:ascii="Calibri" w:cs="Calibri" w:eastAsia="Calibri" w:hAnsi="Calibri"/>
          <w:sz w:val="18"/>
          <w:szCs w:val="18"/>
          <w:color w:val="auto"/>
        </w:rPr>
      </w:pPr>
      <w:r>
        <w:rPr>
          <w:rFonts w:ascii="Calibri" w:cs="Calibri" w:eastAsia="Calibri" w:hAnsi="Calibri"/>
          <w:sz w:val="18"/>
          <w:szCs w:val="18"/>
          <w:color w:val="auto"/>
        </w:rPr>
        <w:t>the Agent, the Mandated Lead Arranger, the Security Trustee and the Majority Lenders do not consider that there is a signifcant risk that any payment or transacton under a Finance Document would be set aside, or would have to be reversed or adjusted, in any present or possible future bankruptcy of the Borrower or a Security Party or in any present or possible future proceeding relatng to a Finance Document or any asset covered (or previously covered) by a Security Interest created by a Finance Document.</w:t>
      </w:r>
    </w:p>
    <w:p>
      <w:pPr>
        <w:spacing w:after="0" w:line="185"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Security Trustee</w:t>
      </w:r>
      <w:r>
        <w:rPr>
          <w:rFonts w:ascii="Calibri" w:cs="Calibri" w:eastAsia="Calibri" w:hAnsi="Calibri"/>
          <w:sz w:val="18"/>
          <w:szCs w:val="18"/>
          <w:color w:val="auto"/>
        </w:rPr>
        <w:t>" means Hamburg Commercial Bank AG, actng in such capacity through its ofce at Gerhart-Hauptmann-Platz 50, D-20095, Hamburg, Germany, or any successor of it appointed under clause 5 of the Agency and Trust Deed.</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Servicing Bank</w:t>
      </w:r>
      <w:r>
        <w:rPr>
          <w:rFonts w:ascii="Calibri" w:cs="Calibri" w:eastAsia="Calibri" w:hAnsi="Calibri"/>
          <w:sz w:val="18"/>
          <w:szCs w:val="18"/>
          <w:color w:val="auto"/>
        </w:rPr>
        <w:t>" means the Agent or the Security Trustee.</w:t>
      </w:r>
    </w:p>
    <w:p>
      <w:pPr>
        <w:spacing w:after="0" w:line="183"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Ship</w:t>
      </w:r>
      <w:r>
        <w:rPr>
          <w:rFonts w:ascii="Calibri" w:cs="Calibri" w:eastAsia="Calibri" w:hAnsi="Calibri"/>
          <w:sz w:val="18"/>
          <w:szCs w:val="18"/>
          <w:color w:val="auto"/>
        </w:rPr>
        <w:t>" means the 2022-built Neo-Panamax container carrier vessel of approximately 13,278 TEU currently build by the Builder having builder's Hull No. 8071 to be registered in the ownership of the Owner with IMO number 9520039 and with the name "MANZANILLO EXPRESS".</w:t>
      </w:r>
    </w:p>
    <w:p>
      <w:pPr>
        <w:spacing w:after="0" w:line="362"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Shipbuilding Contract</w:t>
      </w:r>
      <w:r>
        <w:rPr>
          <w:rFonts w:ascii="Calibri" w:cs="Calibri" w:eastAsia="Calibri" w:hAnsi="Calibri"/>
          <w:sz w:val="18"/>
          <w:szCs w:val="18"/>
          <w:color w:val="auto"/>
        </w:rPr>
        <w:t>" means, in relaton to the Ship, the Shipbuilding Contract dated 18 December 2020 (as from tme to tme amended and/or supplemented) and made between (i) the Builder and (ii) the Owner for the constructon by the Builder of the Ship to be owned by the Owner and its purchase by the Owner.</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Side Leter</w:t>
      </w:r>
      <w:r>
        <w:rPr>
          <w:rFonts w:ascii="Calibri" w:cs="Calibri" w:eastAsia="Calibri" w:hAnsi="Calibri"/>
          <w:sz w:val="18"/>
          <w:szCs w:val="18"/>
          <w:color w:val="auto"/>
        </w:rPr>
        <w:t>" means a leter dated on or about the date of this Agreement specifying the Permited Holders to be executed by the Agent, the Borrower and the Owner in the Agreed Form.</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Subordinated Creditor</w:t>
      </w:r>
      <w:r>
        <w:rPr>
          <w:rFonts w:ascii="Calibri" w:cs="Calibri" w:eastAsia="Calibri" w:hAnsi="Calibri"/>
          <w:sz w:val="18"/>
          <w:szCs w:val="18"/>
          <w:color w:val="auto"/>
        </w:rPr>
        <w:t>" means a Security Party, the general or a limited partner of the Borrower or any other person who becomes a Subordinated Creditor in accordance with this Agreement.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Subordinated Debt Security</w:t>
      </w:r>
      <w:r>
        <w:rPr>
          <w:rFonts w:ascii="Calibri" w:cs="Calibri" w:eastAsia="Calibri" w:hAnsi="Calibri"/>
          <w:sz w:val="18"/>
          <w:szCs w:val="18"/>
          <w:color w:val="auto"/>
        </w:rPr>
        <w:t>" means a document creatng a Security Interest in relaton to any Subordinated Debt in the Agreed Form.</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Subordinated Debt</w:t>
      </w:r>
      <w:r>
        <w:rPr>
          <w:rFonts w:ascii="Calibri" w:cs="Calibri" w:eastAsia="Calibri" w:hAnsi="Calibri"/>
          <w:sz w:val="18"/>
          <w:szCs w:val="18"/>
          <w:color w:val="auto"/>
        </w:rPr>
        <w:t>" in relaton to a Subordinated Creditor, has the meaning given to it in the Subordinaton Agreement entered into by that Subordinated Creditor.</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Subordinaton Agreement</w:t>
      </w:r>
      <w:r>
        <w:rPr>
          <w:rFonts w:ascii="Calibri" w:cs="Calibri" w:eastAsia="Calibri" w:hAnsi="Calibri"/>
          <w:sz w:val="18"/>
          <w:szCs w:val="18"/>
          <w:color w:val="auto"/>
        </w:rPr>
        <w:t>" means a subordinaton agreement entered into or to be entered into by a Subordinated Creditor, the Borrower and the Security Trustee in the Agreed Form.</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Total Assets</w:t>
      </w:r>
      <w:r>
        <w:rPr>
          <w:rFonts w:ascii="Calibri" w:cs="Calibri" w:eastAsia="Calibri" w:hAnsi="Calibri"/>
          <w:sz w:val="18"/>
          <w:szCs w:val="18"/>
          <w:color w:val="auto"/>
        </w:rPr>
        <w:t>" means, as at any date of calculaton or, as the case may be, for any accountng period, the aggregate value of all assets of the Group on a consolidated basis (including, without limitaton, the Ship), as stated in the latest Accountng Informaton.</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Total Loss</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207"/>
        </w:numPr>
        <w:rPr>
          <w:rFonts w:ascii="Calibri" w:cs="Calibri" w:eastAsia="Calibri" w:hAnsi="Calibri"/>
          <w:sz w:val="18"/>
          <w:szCs w:val="18"/>
          <w:color w:val="auto"/>
        </w:rPr>
      </w:pPr>
      <w:r>
        <w:rPr>
          <w:rFonts w:ascii="Calibri" w:cs="Calibri" w:eastAsia="Calibri" w:hAnsi="Calibri"/>
          <w:sz w:val="18"/>
          <w:szCs w:val="18"/>
          <w:color w:val="auto"/>
        </w:rPr>
        <w:t>actual, constructve, compromised, agreed or arranged total loss of the Ship;</w:t>
      </w:r>
    </w:p>
    <w:p>
      <w:pPr>
        <w:spacing w:after="0" w:line="183" w:lineRule="exact"/>
        <w:rPr>
          <w:rFonts w:ascii="Calibri" w:cs="Calibri" w:eastAsia="Calibri" w:hAnsi="Calibri"/>
          <w:sz w:val="18"/>
          <w:szCs w:val="18"/>
          <w:color w:val="auto"/>
        </w:rPr>
      </w:pPr>
    </w:p>
    <w:p>
      <w:pPr>
        <w:jc w:val="both"/>
        <w:ind w:left="600" w:hanging="599"/>
        <w:spacing w:after="0" w:line="223" w:lineRule="auto"/>
        <w:tabs>
          <w:tab w:leader="none" w:pos="600" w:val="left"/>
        </w:tabs>
        <w:numPr>
          <w:ilvl w:val="0"/>
          <w:numId w:val="207"/>
        </w:numPr>
        <w:rPr>
          <w:rFonts w:ascii="Calibri" w:cs="Calibri" w:eastAsia="Calibri" w:hAnsi="Calibri"/>
          <w:sz w:val="18"/>
          <w:szCs w:val="18"/>
          <w:color w:val="auto"/>
        </w:rPr>
      </w:pPr>
      <w:r>
        <w:rPr>
          <w:rFonts w:ascii="Calibri" w:cs="Calibri" w:eastAsia="Calibri" w:hAnsi="Calibri"/>
          <w:sz w:val="18"/>
          <w:szCs w:val="18"/>
          <w:color w:val="auto"/>
        </w:rPr>
        <w:t>any expropriaton, confscaton, requisiton or acquisiton of the Ship, whether for full consideraton, a consideraton less than its proper value, a nominal consideraton or without any consideraton, which is efected by any government or ofcial authority or by any person or persons claiming to be or to represent a government or ofcial authority unless it is within 1 month from the date of such occurrence redelivered to</w:t>
      </w:r>
    </w:p>
    <w:p>
      <w:pPr>
        <w:spacing w:after="0" w:line="185"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20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63" w:name="page164"/>
    <w:bookmarkEnd w:id="163"/>
    <w:p>
      <w:pPr>
        <w:ind w:left="600"/>
        <w:spacing w:after="0"/>
        <w:rPr>
          <w:sz w:val="20"/>
          <w:szCs w:val="20"/>
          <w:color w:val="auto"/>
        </w:rPr>
      </w:pPr>
      <w:r>
        <w:rPr>
          <w:rFonts w:ascii="Calibri" w:cs="Calibri" w:eastAsia="Calibri" w:hAnsi="Calibri"/>
          <w:sz w:val="18"/>
          <w:szCs w:val="18"/>
          <w:color w:val="auto"/>
        </w:rPr>
        <w:t>the full control of the Owner excluding a requisiton for hire for a fxed period not exceeding 90 days without any right to an extension;</w:t>
      </w:r>
    </w:p>
    <w:p>
      <w:pPr>
        <w:spacing w:after="0" w:line="379" w:lineRule="exact"/>
        <w:rPr>
          <w:sz w:val="20"/>
          <w:szCs w:val="20"/>
          <w:color w:val="auto"/>
        </w:rPr>
      </w:pPr>
    </w:p>
    <w:p>
      <w:pPr>
        <w:ind w:left="600" w:hanging="599"/>
        <w:spacing w:after="0"/>
        <w:tabs>
          <w:tab w:leader="none" w:pos="600" w:val="left"/>
        </w:tabs>
        <w:numPr>
          <w:ilvl w:val="0"/>
          <w:numId w:val="208"/>
        </w:numPr>
        <w:rPr>
          <w:rFonts w:ascii="Calibri" w:cs="Calibri" w:eastAsia="Calibri" w:hAnsi="Calibri"/>
          <w:sz w:val="18"/>
          <w:szCs w:val="18"/>
          <w:color w:val="auto"/>
        </w:rPr>
      </w:pPr>
      <w:r>
        <w:rPr>
          <w:rFonts w:ascii="Calibri" w:cs="Calibri" w:eastAsia="Calibri" w:hAnsi="Calibri"/>
          <w:sz w:val="18"/>
          <w:szCs w:val="18"/>
          <w:color w:val="auto"/>
        </w:rPr>
        <w:t>any condemnaton of the Ship by any tribunal or by any competent person or any competent person claiming to be a tribunal; and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8"/>
        </w:numPr>
        <w:rPr>
          <w:rFonts w:ascii="Calibri" w:cs="Calibri" w:eastAsia="Calibri" w:hAnsi="Calibri"/>
          <w:sz w:val="18"/>
          <w:szCs w:val="18"/>
          <w:color w:val="auto"/>
        </w:rPr>
      </w:pPr>
      <w:r>
        <w:rPr>
          <w:rFonts w:ascii="Calibri" w:cs="Calibri" w:eastAsia="Calibri" w:hAnsi="Calibri"/>
          <w:sz w:val="18"/>
          <w:szCs w:val="18"/>
          <w:color w:val="auto"/>
        </w:rPr>
        <w:t>any arrest, capture, seizure, confscaton or detenton of the Ship (including any hijacking or thef) unless it is within 3 months redelivered to the full control of the Owner.</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Total Loss Date</w:t>
      </w:r>
      <w:r>
        <w:rPr>
          <w:rFonts w:ascii="Calibri" w:cs="Calibri" w:eastAsia="Calibri" w:hAnsi="Calibri"/>
          <w:sz w:val="18"/>
          <w:szCs w:val="18"/>
          <w:color w:val="auto"/>
        </w:rPr>
        <w:t>" means:</w:t>
      </w:r>
    </w:p>
    <w:p>
      <w:pPr>
        <w:spacing w:after="0" w:line="183" w:lineRule="exact"/>
        <w:rPr>
          <w:sz w:val="20"/>
          <w:szCs w:val="20"/>
          <w:color w:val="auto"/>
        </w:rPr>
      </w:pPr>
    </w:p>
    <w:p>
      <w:pPr>
        <w:ind w:left="600" w:hanging="599"/>
        <w:spacing w:after="0"/>
        <w:tabs>
          <w:tab w:leader="none" w:pos="600" w:val="left"/>
        </w:tabs>
        <w:numPr>
          <w:ilvl w:val="0"/>
          <w:numId w:val="209"/>
        </w:numPr>
        <w:rPr>
          <w:rFonts w:ascii="Calibri" w:cs="Calibri" w:eastAsia="Calibri" w:hAnsi="Calibri"/>
          <w:sz w:val="18"/>
          <w:szCs w:val="18"/>
          <w:color w:val="auto"/>
        </w:rPr>
      </w:pPr>
      <w:r>
        <w:rPr>
          <w:rFonts w:ascii="Calibri" w:cs="Calibri" w:eastAsia="Calibri" w:hAnsi="Calibri"/>
          <w:sz w:val="18"/>
          <w:szCs w:val="18"/>
          <w:color w:val="auto"/>
        </w:rPr>
        <w:t>in the case of an actual loss of the Ship, the date on which it occurred or, if that is unknown, the date when the Ship was last heard of;</w:t>
      </w:r>
    </w:p>
    <w:p>
      <w:pPr>
        <w:spacing w:after="0" w:line="379" w:lineRule="exact"/>
        <w:rPr>
          <w:rFonts w:ascii="Calibri" w:cs="Calibri" w:eastAsia="Calibri" w:hAnsi="Calibri"/>
          <w:sz w:val="18"/>
          <w:szCs w:val="18"/>
          <w:color w:val="auto"/>
        </w:rPr>
      </w:pPr>
    </w:p>
    <w:p>
      <w:pPr>
        <w:ind w:left="600" w:hanging="599"/>
        <w:spacing w:after="0"/>
        <w:tabs>
          <w:tab w:leader="none" w:pos="600" w:val="left"/>
        </w:tabs>
        <w:numPr>
          <w:ilvl w:val="0"/>
          <w:numId w:val="209"/>
        </w:numPr>
        <w:rPr>
          <w:rFonts w:ascii="Calibri" w:cs="Calibri" w:eastAsia="Calibri" w:hAnsi="Calibri"/>
          <w:sz w:val="18"/>
          <w:szCs w:val="18"/>
          <w:color w:val="auto"/>
        </w:rPr>
      </w:pPr>
      <w:r>
        <w:rPr>
          <w:rFonts w:ascii="Calibri" w:cs="Calibri" w:eastAsia="Calibri" w:hAnsi="Calibri"/>
          <w:sz w:val="18"/>
          <w:szCs w:val="18"/>
          <w:color w:val="auto"/>
        </w:rPr>
        <w:t>in the case of a constructve, compromised, agreed or arranged total loss of the Ship, the earlier of:</w:t>
      </w:r>
    </w:p>
    <w:p>
      <w:pPr>
        <w:spacing w:after="0" w:line="181" w:lineRule="exact"/>
        <w:rPr>
          <w:rFonts w:ascii="Calibri" w:cs="Calibri" w:eastAsia="Calibri" w:hAnsi="Calibri"/>
          <w:sz w:val="18"/>
          <w:szCs w:val="18"/>
          <w:color w:val="auto"/>
        </w:rPr>
      </w:pPr>
    </w:p>
    <w:p>
      <w:pPr>
        <w:ind w:left="1200" w:hanging="597"/>
        <w:spacing w:after="0"/>
        <w:tabs>
          <w:tab w:leader="none" w:pos="1200" w:val="left"/>
        </w:tabs>
        <w:numPr>
          <w:ilvl w:val="1"/>
          <w:numId w:val="209"/>
        </w:numPr>
        <w:rPr>
          <w:rFonts w:ascii="Calibri" w:cs="Calibri" w:eastAsia="Calibri" w:hAnsi="Calibri"/>
          <w:sz w:val="18"/>
          <w:szCs w:val="18"/>
          <w:color w:val="auto"/>
        </w:rPr>
      </w:pPr>
      <w:r>
        <w:rPr>
          <w:rFonts w:ascii="Calibri" w:cs="Calibri" w:eastAsia="Calibri" w:hAnsi="Calibri"/>
          <w:sz w:val="18"/>
          <w:szCs w:val="18"/>
          <w:color w:val="auto"/>
        </w:rPr>
        <w:t>30 days afer the date on which a notce of abandonment is given to the insurers; and</w:t>
      </w:r>
    </w:p>
    <w:p>
      <w:pPr>
        <w:spacing w:after="0" w:line="183" w:lineRule="exact"/>
        <w:rPr>
          <w:rFonts w:ascii="Calibri" w:cs="Calibri" w:eastAsia="Calibri" w:hAnsi="Calibri"/>
          <w:sz w:val="18"/>
          <w:szCs w:val="18"/>
          <w:color w:val="auto"/>
        </w:rPr>
      </w:pPr>
    </w:p>
    <w:p>
      <w:pPr>
        <w:ind w:left="1200" w:hanging="597"/>
        <w:spacing w:after="0" w:line="228" w:lineRule="auto"/>
        <w:tabs>
          <w:tab w:leader="none" w:pos="1200" w:val="left"/>
        </w:tabs>
        <w:numPr>
          <w:ilvl w:val="1"/>
          <w:numId w:val="209"/>
        </w:numPr>
        <w:rPr>
          <w:rFonts w:ascii="Calibri" w:cs="Calibri" w:eastAsia="Calibri" w:hAnsi="Calibri"/>
          <w:sz w:val="18"/>
          <w:szCs w:val="18"/>
          <w:color w:val="auto"/>
        </w:rPr>
      </w:pPr>
      <w:r>
        <w:rPr>
          <w:rFonts w:ascii="Calibri" w:cs="Calibri" w:eastAsia="Calibri" w:hAnsi="Calibri"/>
          <w:sz w:val="18"/>
          <w:szCs w:val="18"/>
          <w:color w:val="auto"/>
        </w:rPr>
        <w:t>the date of any compromise, arrangement or agreement made by or on behalf of the Owner with the Ship's insurers in which the insurers agree to treat the Ship as a total loss; and</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09"/>
        </w:numPr>
        <w:rPr>
          <w:rFonts w:ascii="Calibri" w:cs="Calibri" w:eastAsia="Calibri" w:hAnsi="Calibri"/>
          <w:sz w:val="18"/>
          <w:szCs w:val="18"/>
          <w:color w:val="auto"/>
        </w:rPr>
      </w:pPr>
      <w:r>
        <w:rPr>
          <w:rFonts w:ascii="Calibri" w:cs="Calibri" w:eastAsia="Calibri" w:hAnsi="Calibri"/>
          <w:sz w:val="18"/>
          <w:szCs w:val="18"/>
          <w:color w:val="auto"/>
        </w:rPr>
        <w:t>in the case of any other type of total loss, on the date (or the most likely date) on which it appears to the Agent that the event consttutng the total loss occurred.</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Transfer Certfcate</w:t>
      </w:r>
      <w:r>
        <w:rPr>
          <w:rFonts w:ascii="Calibri" w:cs="Calibri" w:eastAsia="Calibri" w:hAnsi="Calibri"/>
          <w:sz w:val="18"/>
          <w:szCs w:val="18"/>
          <w:color w:val="auto"/>
        </w:rPr>
        <w:t>" has the meaning given in Clause 26.2.</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Trust Property</w:t>
      </w:r>
      <w:r>
        <w:rPr>
          <w:rFonts w:ascii="Calibri" w:cs="Calibri" w:eastAsia="Calibri" w:hAnsi="Calibri"/>
          <w:sz w:val="18"/>
          <w:szCs w:val="18"/>
          <w:color w:val="auto"/>
        </w:rPr>
        <w:t>" has the meaning given in clause 3.1 of the Agency and Trust Deed.</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UK Bail-In Legislaton</w:t>
      </w:r>
      <w:r>
        <w:rPr>
          <w:rFonts w:ascii="Calibri" w:cs="Calibri" w:eastAsia="Calibri" w:hAnsi="Calibri"/>
          <w:sz w:val="18"/>
          <w:szCs w:val="18"/>
          <w:color w:val="auto"/>
        </w:rPr>
        <w:t>" means Part 1 of the United Kingdom Banking Act 2009 and any other law or regulaton applicable in the United Kingdom relatng to the resoluton of unsound or failing banks, investment frms or other fnancial insttutes or their afliates (otherwise than through liquidaton, administraton or other insolvency proceedings).</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Underlying Documents</w:t>
      </w:r>
      <w:r>
        <w:rPr>
          <w:rFonts w:ascii="Calibri" w:cs="Calibri" w:eastAsia="Calibri" w:hAnsi="Calibri"/>
          <w:sz w:val="18"/>
          <w:szCs w:val="18"/>
          <w:color w:val="auto"/>
        </w:rPr>
        <w:t>" means the Approved Charter, any other Assignable Charter and a Shipbuilding Contract and, in the singular, means any of them.</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US</w:t>
      </w:r>
      <w:r>
        <w:rPr>
          <w:rFonts w:ascii="Calibri" w:cs="Calibri" w:eastAsia="Calibri" w:hAnsi="Calibri"/>
          <w:sz w:val="18"/>
          <w:szCs w:val="18"/>
          <w:color w:val="auto"/>
        </w:rPr>
        <w:t>" means the United States of America.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US Tax Obligor</w:t>
      </w:r>
      <w:r>
        <w:rPr>
          <w:rFonts w:ascii="Calibri" w:cs="Calibri" w:eastAsia="Calibri" w:hAnsi="Calibri"/>
          <w:sz w:val="18"/>
          <w:szCs w:val="18"/>
          <w:color w:val="auto"/>
        </w:rPr>
        <w:t>" means:</w:t>
      </w:r>
    </w:p>
    <w:p>
      <w:pPr>
        <w:spacing w:after="0" w:line="181" w:lineRule="exact"/>
        <w:rPr>
          <w:sz w:val="20"/>
          <w:szCs w:val="20"/>
          <w:color w:val="auto"/>
        </w:rPr>
      </w:pPr>
    </w:p>
    <w:p>
      <w:pPr>
        <w:ind w:left="600" w:hanging="599"/>
        <w:spacing w:after="0"/>
        <w:tabs>
          <w:tab w:leader="none" w:pos="600" w:val="left"/>
        </w:tabs>
        <w:numPr>
          <w:ilvl w:val="0"/>
          <w:numId w:val="210"/>
        </w:numPr>
        <w:rPr>
          <w:rFonts w:ascii="Calibri" w:cs="Calibri" w:eastAsia="Calibri" w:hAnsi="Calibri"/>
          <w:sz w:val="18"/>
          <w:szCs w:val="18"/>
          <w:color w:val="auto"/>
        </w:rPr>
      </w:pPr>
      <w:r>
        <w:rPr>
          <w:rFonts w:ascii="Calibri" w:cs="Calibri" w:eastAsia="Calibri" w:hAnsi="Calibri"/>
          <w:sz w:val="18"/>
          <w:szCs w:val="18"/>
          <w:color w:val="auto"/>
        </w:rPr>
        <w:t>the Borrower, if it is resident for tax purposes in the US;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10"/>
        </w:numPr>
        <w:rPr>
          <w:rFonts w:ascii="Calibri" w:cs="Calibri" w:eastAsia="Calibri" w:hAnsi="Calibri"/>
          <w:sz w:val="18"/>
          <w:szCs w:val="18"/>
          <w:color w:val="auto"/>
        </w:rPr>
      </w:pPr>
      <w:r>
        <w:rPr>
          <w:rFonts w:ascii="Calibri" w:cs="Calibri" w:eastAsia="Calibri" w:hAnsi="Calibri"/>
          <w:sz w:val="18"/>
          <w:szCs w:val="18"/>
          <w:color w:val="auto"/>
        </w:rPr>
        <w:t>the Borrower or a Security Party some or all whose payments under the Finance Documents are from sources within the US for US federal income tax purposes.</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Write-down and Conversion Powers</w:t>
      </w:r>
      <w:r>
        <w:rPr>
          <w:rFonts w:ascii="Calibri" w:cs="Calibri" w:eastAsia="Calibri" w:hAnsi="Calibri"/>
          <w:sz w:val="18"/>
          <w:szCs w:val="18"/>
          <w:color w:val="auto"/>
        </w:rPr>
        <w:t>" means:</w:t>
      </w:r>
    </w:p>
    <w:p>
      <w:pPr>
        <w:spacing w:after="0" w:line="183" w:lineRule="exact"/>
        <w:rPr>
          <w:sz w:val="20"/>
          <w:szCs w:val="20"/>
          <w:color w:val="auto"/>
        </w:rPr>
      </w:pPr>
    </w:p>
    <w:p>
      <w:pPr>
        <w:ind w:left="600" w:hanging="599"/>
        <w:spacing w:after="0" w:line="228" w:lineRule="auto"/>
        <w:tabs>
          <w:tab w:leader="none" w:pos="600" w:val="left"/>
        </w:tabs>
        <w:numPr>
          <w:ilvl w:val="0"/>
          <w:numId w:val="211"/>
        </w:numPr>
        <w:rPr>
          <w:rFonts w:ascii="Calibri" w:cs="Calibri" w:eastAsia="Calibri" w:hAnsi="Calibri"/>
          <w:sz w:val="18"/>
          <w:szCs w:val="18"/>
          <w:color w:val="auto"/>
        </w:rPr>
      </w:pPr>
      <w:r>
        <w:rPr>
          <w:rFonts w:ascii="Calibri" w:cs="Calibri" w:eastAsia="Calibri" w:hAnsi="Calibri"/>
          <w:sz w:val="18"/>
          <w:szCs w:val="18"/>
          <w:color w:val="auto"/>
        </w:rPr>
        <w:t>in relaton to any Bail-In Legislaton described in the EU Bail-In Legislaton Schedule from tme to tme, the powers described as such in relaton to that Bail-In Legislaton in the EU Bail-In Legislaton Schedule;</w:t>
      </w:r>
    </w:p>
    <w:p>
      <w:pPr>
        <w:spacing w:after="0" w:line="183"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64" w:name="page165"/>
    <w:bookmarkEnd w:id="164"/>
    <w:p>
      <w:pPr>
        <w:jc w:val="both"/>
        <w:ind w:left="1200" w:hanging="599"/>
        <w:spacing w:after="0"/>
        <w:tabs>
          <w:tab w:leader="none" w:pos="1200" w:val="left"/>
        </w:tabs>
        <w:numPr>
          <w:ilvl w:val="0"/>
          <w:numId w:val="212"/>
        </w:numPr>
        <w:rPr>
          <w:rFonts w:ascii="Calibri" w:cs="Calibri" w:eastAsia="Calibri" w:hAnsi="Calibri"/>
          <w:sz w:val="18"/>
          <w:szCs w:val="18"/>
          <w:color w:val="auto"/>
        </w:rPr>
      </w:pPr>
      <w:r>
        <w:rPr>
          <w:rFonts w:ascii="Calibri" w:cs="Calibri" w:eastAsia="Calibri" w:hAnsi="Calibri"/>
          <w:sz w:val="18"/>
          <w:szCs w:val="18"/>
          <w:color w:val="auto"/>
        </w:rPr>
        <w:t>in relaton to the UK Bail-In Legislaton, any powers under that UK Bail-In Legislaton to cancel, transfer or dilute shares issued by a person that is a bank or investment frm or other fnancial insttuton or afliate of a bank, investment frm or other fnancial insttuton, to cancel, reduce, modify or change the form of a liability of such a person or any contract or instrument under which that liability arises, to convert all or part of that liability into shares, securites or obligatons of that person or any other person, to provide that any such contract or instrument is to have efect as if a right had been exercised under it or to suspend any obligaton in respect of that liability or any of the powers under that UK Bail-In Legislaton that are related to or ancillary to any of those powers; and</w:t>
      </w:r>
    </w:p>
    <w:p>
      <w:pPr>
        <w:spacing w:after="0" w:line="282" w:lineRule="exact"/>
        <w:rPr>
          <w:rFonts w:ascii="Calibri" w:cs="Calibri" w:eastAsia="Calibri" w:hAnsi="Calibri"/>
          <w:sz w:val="18"/>
          <w:szCs w:val="18"/>
          <w:color w:val="auto"/>
        </w:rPr>
      </w:pPr>
    </w:p>
    <w:p>
      <w:pPr>
        <w:ind w:left="1200" w:hanging="599"/>
        <w:spacing w:after="0"/>
        <w:tabs>
          <w:tab w:leader="none" w:pos="1200" w:val="left"/>
        </w:tabs>
        <w:numPr>
          <w:ilvl w:val="0"/>
          <w:numId w:val="212"/>
        </w:numPr>
        <w:rPr>
          <w:rFonts w:ascii="Calibri" w:cs="Calibri" w:eastAsia="Calibri" w:hAnsi="Calibri"/>
          <w:sz w:val="18"/>
          <w:szCs w:val="18"/>
          <w:color w:val="auto"/>
        </w:rPr>
      </w:pPr>
      <w:r>
        <w:rPr>
          <w:rFonts w:ascii="Calibri" w:cs="Calibri" w:eastAsia="Calibri" w:hAnsi="Calibri"/>
          <w:sz w:val="18"/>
          <w:szCs w:val="18"/>
          <w:color w:val="auto"/>
        </w:rPr>
        <w:t>in relaton to any other applicable Bail-In Legislaton:</w:t>
      </w:r>
    </w:p>
    <w:p>
      <w:pPr>
        <w:spacing w:after="0" w:line="183" w:lineRule="exact"/>
        <w:rPr>
          <w:rFonts w:ascii="Calibri" w:cs="Calibri" w:eastAsia="Calibri" w:hAnsi="Calibri"/>
          <w:sz w:val="18"/>
          <w:szCs w:val="18"/>
          <w:color w:val="auto"/>
        </w:rPr>
      </w:pPr>
    </w:p>
    <w:p>
      <w:pPr>
        <w:jc w:val="both"/>
        <w:ind w:left="1800" w:hanging="597"/>
        <w:spacing w:after="0"/>
        <w:tabs>
          <w:tab w:leader="none" w:pos="1800" w:val="left"/>
        </w:tabs>
        <w:numPr>
          <w:ilvl w:val="1"/>
          <w:numId w:val="212"/>
        </w:numPr>
        <w:rPr>
          <w:rFonts w:ascii="Calibri" w:cs="Calibri" w:eastAsia="Calibri" w:hAnsi="Calibri"/>
          <w:sz w:val="18"/>
          <w:szCs w:val="18"/>
          <w:color w:val="auto"/>
        </w:rPr>
      </w:pPr>
      <w:r>
        <w:rPr>
          <w:rFonts w:ascii="Calibri" w:cs="Calibri" w:eastAsia="Calibri" w:hAnsi="Calibri"/>
          <w:sz w:val="18"/>
          <w:szCs w:val="18"/>
          <w:color w:val="auto"/>
        </w:rPr>
        <w:t>any powers under that Bail-In Legislaton to cancel, transfer or dilute shares issued by a person that is a bank or investment frm or other fnancial insttuton or afliate of a bank, investment frm or other fnancial insttuton, to cancel, reduce, modify or change the form of a liability of such a person or any contract or instrument under which that liability arises, to convert all or part of that liability into shares, securites or obligatons of that person or any other person, to provide that any such contract or instrument is to have efect as if a right had been exercised under it or to suspend any obligaton in respect of that liability or any of the powers under that Bail-In Legislaton that are related to or ancillary to any of those powers; and</w:t>
      </w:r>
    </w:p>
    <w:p>
      <w:pPr>
        <w:spacing w:after="0" w:line="282" w:lineRule="exact"/>
        <w:rPr>
          <w:rFonts w:ascii="Calibri" w:cs="Calibri" w:eastAsia="Calibri" w:hAnsi="Calibri"/>
          <w:sz w:val="18"/>
          <w:szCs w:val="18"/>
          <w:color w:val="auto"/>
        </w:rPr>
      </w:pPr>
    </w:p>
    <w:p>
      <w:pPr>
        <w:ind w:left="1800" w:hanging="597"/>
        <w:spacing w:after="0"/>
        <w:tabs>
          <w:tab w:leader="none" w:pos="1800" w:val="left"/>
        </w:tabs>
        <w:numPr>
          <w:ilvl w:val="1"/>
          <w:numId w:val="212"/>
        </w:numPr>
        <w:rPr>
          <w:rFonts w:ascii="Calibri" w:cs="Calibri" w:eastAsia="Calibri" w:hAnsi="Calibri"/>
          <w:sz w:val="18"/>
          <w:szCs w:val="18"/>
          <w:color w:val="auto"/>
        </w:rPr>
      </w:pPr>
      <w:r>
        <w:rPr>
          <w:rFonts w:ascii="Calibri" w:cs="Calibri" w:eastAsia="Calibri" w:hAnsi="Calibri"/>
          <w:sz w:val="18"/>
          <w:szCs w:val="18"/>
          <w:color w:val="auto"/>
        </w:rPr>
        <w:t>any similar or analogous powers under that Bail-In Legislaton.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w:t>
      </w:r>
      <w:r>
        <w:rPr>
          <w:sz w:val="20"/>
          <w:szCs w:val="20"/>
          <w:color w:val="auto"/>
        </w:rPr>
        <w:tab/>
      </w:r>
      <w:r>
        <w:rPr>
          <w:rFonts w:ascii="Calibri" w:cs="Calibri" w:eastAsia="Calibri" w:hAnsi="Calibri"/>
          <w:sz w:val="18"/>
          <w:szCs w:val="18"/>
          <w:b w:val="1"/>
          <w:bCs w:val="1"/>
          <w:color w:val="auto"/>
        </w:rPr>
        <w:t>Constructon of certain terms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this Agreement: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actng in concert</w:t>
      </w:r>
      <w:r>
        <w:rPr>
          <w:rFonts w:ascii="Calibri" w:cs="Calibri" w:eastAsia="Calibri" w:hAnsi="Calibri"/>
          <w:sz w:val="18"/>
          <w:szCs w:val="18"/>
          <w:color w:val="auto"/>
        </w:rPr>
        <w:t>" means a group of persons who, pursuant to an agreement or understanding (whether formal or informal), actvely co-operate, through the acquisiton directly or indirectly of equity in the Borrower or the Owner, either directly or indirectly, to obtain or consolidate control of the Borrower or the Owner;</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administraton notce</w:t>
      </w:r>
      <w:r>
        <w:rPr>
          <w:rFonts w:ascii="Calibri" w:cs="Calibri" w:eastAsia="Calibri" w:hAnsi="Calibri"/>
          <w:sz w:val="18"/>
          <w:szCs w:val="18"/>
          <w:color w:val="auto"/>
        </w:rPr>
        <w:t>" means a notce appointng an administrator, a notce of intended appointment and any other notce which is required by law (generally or in the case concerned) to be fled with the court or given to a person prior to, or in connecton with, the appointment of an administrator;</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afliate</w:t>
      </w:r>
      <w:r>
        <w:rPr>
          <w:rFonts w:ascii="Calibri" w:cs="Calibri" w:eastAsia="Calibri" w:hAnsi="Calibri"/>
          <w:sz w:val="18"/>
          <w:szCs w:val="18"/>
          <w:color w:val="auto"/>
        </w:rPr>
        <w:t>" means, in relaton to any person, a subsidiary of that person or a holding company of that person or any other subsidiary of that holding company</w:t>
      </w:r>
      <w:r>
        <w:rPr>
          <w:rFonts w:ascii="Calibri" w:cs="Calibri" w:eastAsia="Calibri" w:hAnsi="Calibri"/>
          <w:sz w:val="18"/>
          <w:szCs w:val="18"/>
          <w:b w:val="1"/>
          <w:bCs w:val="1"/>
          <w:color w:val="auto"/>
        </w:rPr>
        <w:t>;</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approved</w:t>
      </w:r>
      <w:r>
        <w:rPr>
          <w:rFonts w:ascii="Calibri" w:cs="Calibri" w:eastAsia="Calibri" w:hAnsi="Calibri"/>
          <w:sz w:val="18"/>
          <w:szCs w:val="18"/>
          <w:color w:val="auto"/>
        </w:rPr>
        <w:t>" means, for the purposes of Clause 13, approved in writng by the Agent at its discreton;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asset</w:t>
      </w:r>
      <w:r>
        <w:rPr>
          <w:rFonts w:ascii="Calibri" w:cs="Calibri" w:eastAsia="Calibri" w:hAnsi="Calibri"/>
          <w:sz w:val="18"/>
          <w:szCs w:val="18"/>
          <w:color w:val="auto"/>
        </w:rPr>
        <w:t>" includes every kind of property, asset, interest or right, including any present, future or contngent right to any revenues or other payment;</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company</w:t>
      </w:r>
      <w:r>
        <w:rPr>
          <w:rFonts w:ascii="Calibri" w:cs="Calibri" w:eastAsia="Calibri" w:hAnsi="Calibri"/>
          <w:sz w:val="18"/>
          <w:szCs w:val="18"/>
          <w:color w:val="auto"/>
        </w:rPr>
        <w:t>" includes any partnership, joint venture and unincorporated associaton;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control</w:t>
      </w:r>
      <w:r>
        <w:rPr>
          <w:rFonts w:ascii="Calibri" w:cs="Calibri" w:eastAsia="Calibri" w:hAnsi="Calibri"/>
          <w:sz w:val="18"/>
          <w:szCs w:val="18"/>
          <w:color w:val="auto"/>
        </w:rPr>
        <w:t>" means the power (whether by way of ownership of equity, proxy, contract, agency or otherwise) to:</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65" w:name="page166"/>
    <w:bookmarkEnd w:id="165"/>
    <w:p>
      <w:pPr>
        <w:ind w:left="600" w:hanging="599"/>
        <w:spacing w:after="0" w:line="228" w:lineRule="auto"/>
        <w:tabs>
          <w:tab w:leader="none" w:pos="600" w:val="left"/>
        </w:tabs>
        <w:numPr>
          <w:ilvl w:val="0"/>
          <w:numId w:val="213"/>
        </w:numPr>
        <w:rPr>
          <w:rFonts w:ascii="Calibri" w:cs="Calibri" w:eastAsia="Calibri" w:hAnsi="Calibri"/>
          <w:sz w:val="18"/>
          <w:szCs w:val="18"/>
          <w:color w:val="auto"/>
        </w:rPr>
      </w:pPr>
      <w:r>
        <w:rPr>
          <w:rFonts w:ascii="Calibri" w:cs="Calibri" w:eastAsia="Calibri" w:hAnsi="Calibri"/>
          <w:sz w:val="18"/>
          <w:szCs w:val="18"/>
          <w:color w:val="auto"/>
        </w:rPr>
        <w:t>cast, or control the castng of, more than 50 per cent. of the maximum number of votes that might be cast at a meetng of the limited partners of the Borrower or at a general meetng of the shareholders of the Owner;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13"/>
        </w:numPr>
        <w:rPr>
          <w:rFonts w:ascii="Calibri" w:cs="Calibri" w:eastAsia="Calibri" w:hAnsi="Calibri"/>
          <w:sz w:val="18"/>
          <w:szCs w:val="18"/>
          <w:color w:val="auto"/>
        </w:rPr>
      </w:pPr>
      <w:r>
        <w:rPr>
          <w:rFonts w:ascii="Calibri" w:cs="Calibri" w:eastAsia="Calibri" w:hAnsi="Calibri"/>
          <w:sz w:val="18"/>
          <w:szCs w:val="18"/>
          <w:color w:val="auto"/>
        </w:rPr>
        <w:t>appoint or remove all, or the majority, of the directors of the Borrower or ofcers of the Borrower's general partner or ofcers or directors of the Owner; or</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13"/>
        </w:numPr>
        <w:rPr>
          <w:rFonts w:ascii="Calibri" w:cs="Calibri" w:eastAsia="Calibri" w:hAnsi="Calibri"/>
          <w:sz w:val="18"/>
          <w:szCs w:val="18"/>
          <w:color w:val="auto"/>
        </w:rPr>
      </w:pPr>
      <w:r>
        <w:rPr>
          <w:rFonts w:ascii="Calibri" w:cs="Calibri" w:eastAsia="Calibri" w:hAnsi="Calibri"/>
          <w:sz w:val="18"/>
          <w:szCs w:val="18"/>
          <w:color w:val="auto"/>
        </w:rPr>
        <w:t>give directons with respect to the operatng and fnancial policies of the Borrower or the Owner with which the directors of the Borrower or ofcers of the Borrower's general partner or ofcers or directors of the Owner are obliged to comply;</w:t>
      </w:r>
    </w:p>
    <w:p>
      <w:pPr>
        <w:spacing w:after="0" w:line="183" w:lineRule="exact"/>
        <w:rPr>
          <w:rFonts w:ascii="Calibri" w:cs="Calibri" w:eastAsia="Calibri" w:hAnsi="Calibri"/>
          <w:sz w:val="18"/>
          <w:szCs w:val="18"/>
          <w:color w:val="auto"/>
        </w:rPr>
      </w:pPr>
    </w:p>
    <w:p>
      <w:pPr>
        <w:ind w:left="600" w:hanging="599"/>
        <w:spacing w:after="0" w:line="228" w:lineRule="auto"/>
        <w:tabs>
          <w:tab w:leader="none" w:pos="600" w:val="left"/>
        </w:tabs>
        <w:numPr>
          <w:ilvl w:val="0"/>
          <w:numId w:val="213"/>
        </w:numPr>
        <w:rPr>
          <w:rFonts w:ascii="Calibri" w:cs="Calibri" w:eastAsia="Calibri" w:hAnsi="Calibri"/>
          <w:sz w:val="18"/>
          <w:szCs w:val="18"/>
          <w:color w:val="auto"/>
        </w:rPr>
      </w:pPr>
      <w:r>
        <w:rPr>
          <w:rFonts w:ascii="Calibri" w:cs="Calibri" w:eastAsia="Calibri" w:hAnsi="Calibri"/>
          <w:sz w:val="18"/>
          <w:szCs w:val="18"/>
          <w:color w:val="auto"/>
        </w:rPr>
        <w:t>approve a merger or consolidaton of the Borrower and/or the Owner and/or the sale or other dispositons of the Owner or any of them; and/or</w:t>
      </w:r>
    </w:p>
    <w:p>
      <w:pPr>
        <w:spacing w:after="0" w:line="181" w:lineRule="exact"/>
        <w:rPr>
          <w:rFonts w:ascii="Calibri" w:cs="Calibri" w:eastAsia="Calibri" w:hAnsi="Calibri"/>
          <w:sz w:val="18"/>
          <w:szCs w:val="18"/>
          <w:color w:val="auto"/>
        </w:rPr>
      </w:pPr>
    </w:p>
    <w:p>
      <w:pPr>
        <w:ind w:left="600" w:hanging="599"/>
        <w:spacing w:after="0"/>
        <w:tabs>
          <w:tab w:leader="none" w:pos="600" w:val="left"/>
        </w:tabs>
        <w:numPr>
          <w:ilvl w:val="0"/>
          <w:numId w:val="213"/>
        </w:numPr>
        <w:rPr>
          <w:rFonts w:ascii="Calibri" w:cs="Calibri" w:eastAsia="Calibri" w:hAnsi="Calibri"/>
          <w:sz w:val="18"/>
          <w:szCs w:val="18"/>
          <w:color w:val="auto"/>
        </w:rPr>
      </w:pPr>
      <w:r>
        <w:rPr>
          <w:rFonts w:ascii="Calibri" w:cs="Calibri" w:eastAsia="Calibri" w:hAnsi="Calibri"/>
          <w:sz w:val="18"/>
          <w:szCs w:val="18"/>
          <w:color w:val="auto"/>
        </w:rPr>
        <w:t>approve a complete liquidaton or dissoluton of the Borrower or the Owner;</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consent</w:t>
      </w:r>
      <w:r>
        <w:rPr>
          <w:rFonts w:ascii="Calibri" w:cs="Calibri" w:eastAsia="Calibri" w:hAnsi="Calibri"/>
          <w:sz w:val="18"/>
          <w:szCs w:val="18"/>
          <w:color w:val="auto"/>
        </w:rPr>
        <w:t>" includes an authorisaton, consent, approval, resoluton, licence, exempton, fling, registraton, notarisaton and legalisaton;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contngent liability</w:t>
      </w:r>
      <w:r>
        <w:rPr>
          <w:rFonts w:ascii="Calibri" w:cs="Calibri" w:eastAsia="Calibri" w:hAnsi="Calibri"/>
          <w:sz w:val="18"/>
          <w:szCs w:val="18"/>
          <w:color w:val="auto"/>
        </w:rPr>
        <w:t>" means a liability which is not certain to arise and/or the amount of which remains unascertained;</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document</w:t>
      </w:r>
      <w:r>
        <w:rPr>
          <w:rFonts w:ascii="Calibri" w:cs="Calibri" w:eastAsia="Calibri" w:hAnsi="Calibri"/>
          <w:sz w:val="18"/>
          <w:szCs w:val="18"/>
          <w:color w:val="auto"/>
        </w:rPr>
        <w:t>" includes a deed; also a leter or fax;</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excess risks</w:t>
      </w:r>
      <w:r>
        <w:rPr>
          <w:rFonts w:ascii="Calibri" w:cs="Calibri" w:eastAsia="Calibri" w:hAnsi="Calibri"/>
          <w:sz w:val="18"/>
          <w:szCs w:val="18"/>
          <w:color w:val="auto"/>
        </w:rPr>
        <w:t>" means the proporton of claims for general average, salvage and salvage charges not recoverable under the hull and machinery policies in respect of the Ship in consequence of its insured value being less than the value at which the Ship is assessed for the purpose of such claims;</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expense</w:t>
      </w:r>
      <w:r>
        <w:rPr>
          <w:rFonts w:ascii="Calibri" w:cs="Calibri" w:eastAsia="Calibri" w:hAnsi="Calibri"/>
          <w:sz w:val="18"/>
          <w:szCs w:val="18"/>
          <w:color w:val="auto"/>
        </w:rPr>
        <w:t>" means any kind of cost, charge or expense (including all legal costs, charges and expenses) and any applicable value added or other tax;</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gross negligence</w:t>
      </w:r>
      <w:r>
        <w:rPr>
          <w:rFonts w:ascii="Calibri" w:cs="Calibri" w:eastAsia="Calibri" w:hAnsi="Calibri"/>
          <w:sz w:val="18"/>
          <w:szCs w:val="18"/>
          <w:color w:val="auto"/>
        </w:rPr>
        <w:t>" means a form of negligence which is distnct from ordinary negligence, in which the due diligence and care which are generally to be exercised have been disregarded to a partcularly high degree, in which the plainest deliberatons have not been made and that which should be most obvious to everybody has not been followed;</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law</w:t>
      </w:r>
      <w:r>
        <w:rPr>
          <w:rFonts w:ascii="Calibri" w:cs="Calibri" w:eastAsia="Calibri" w:hAnsi="Calibri"/>
          <w:sz w:val="18"/>
          <w:szCs w:val="18"/>
          <w:color w:val="auto"/>
        </w:rPr>
        <w:t>" includes any order or decree, any form of delegated legislaton, any treaty or internatonal conventon and any regulaton or resoluton of the Council of the European Union, the European Commission, the United Natons or its Security Council;</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legal or administratve acton</w:t>
      </w:r>
      <w:r>
        <w:rPr>
          <w:rFonts w:ascii="Calibri" w:cs="Calibri" w:eastAsia="Calibri" w:hAnsi="Calibri"/>
          <w:sz w:val="18"/>
          <w:szCs w:val="18"/>
          <w:color w:val="auto"/>
        </w:rPr>
        <w:t>" means any legal proceeding or arbitraton and any administratve or regulatory acton or investgaton;</w:t>
      </w:r>
    </w:p>
    <w:p>
      <w:pPr>
        <w:spacing w:after="0" w:line="183"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liability</w:t>
      </w:r>
      <w:r>
        <w:rPr>
          <w:rFonts w:ascii="Calibri" w:cs="Calibri" w:eastAsia="Calibri" w:hAnsi="Calibri"/>
          <w:sz w:val="18"/>
          <w:szCs w:val="18"/>
          <w:color w:val="auto"/>
        </w:rPr>
        <w:t>" includes every kind of debt or liability (present or future, certain or contngent), whether incurred as principal or surety or otherwise;</w:t>
      </w:r>
    </w:p>
    <w:p>
      <w:pPr>
        <w:spacing w:after="0" w:line="379"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months</w:t>
      </w:r>
      <w:r>
        <w:rPr>
          <w:rFonts w:ascii="Calibri" w:cs="Calibri" w:eastAsia="Calibri" w:hAnsi="Calibri"/>
          <w:sz w:val="18"/>
          <w:szCs w:val="18"/>
          <w:color w:val="auto"/>
        </w:rPr>
        <w:t>" shall be construed in accordance with Clause 1.3;</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obligatory insurances</w:t>
      </w:r>
      <w:r>
        <w:rPr>
          <w:rFonts w:ascii="Calibri" w:cs="Calibri" w:eastAsia="Calibri" w:hAnsi="Calibri"/>
          <w:sz w:val="18"/>
          <w:szCs w:val="18"/>
          <w:color w:val="auto"/>
        </w:rPr>
        <w:t>" means all insurances efected, or which the Owner is obliged to efect, under Clause 13 or any other provision of this Agreement or another Finance Document;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parent company</w:t>
      </w:r>
      <w:r>
        <w:rPr>
          <w:rFonts w:ascii="Calibri" w:cs="Calibri" w:eastAsia="Calibri" w:hAnsi="Calibri"/>
          <w:sz w:val="18"/>
          <w:szCs w:val="18"/>
          <w:color w:val="auto"/>
        </w:rPr>
        <w:t>" has the meaning given in Clause 1.4;</w:t>
      </w:r>
    </w:p>
    <w:p>
      <w:pPr>
        <w:spacing w:after="0" w:line="182" w:lineRule="exact"/>
        <w:rPr>
          <w:sz w:val="20"/>
          <w:szCs w:val="20"/>
          <w:color w:val="auto"/>
        </w:rPr>
      </w:pPr>
    </w:p>
    <w:p>
      <w:pPr>
        <w:jc w:val="both"/>
        <w:ind w:left="4940"/>
        <w:spacing w:after="0"/>
        <w:tabs>
          <w:tab w:leader="none" w:pos="932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40"/>
          </w:cols>
          <w:pgMar w:left="920" w:top="429" w:right="339" w:bottom="1440" w:gutter="0" w:footer="0" w:header="0"/>
        </w:sectPr>
      </w:pPr>
    </w:p>
    <w:bookmarkStart w:id="166" w:name="page167"/>
    <w:bookmarkEnd w:id="166"/>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person</w:t>
      </w:r>
      <w:r>
        <w:rPr>
          <w:rFonts w:ascii="Calibri" w:cs="Calibri" w:eastAsia="Calibri" w:hAnsi="Calibri"/>
          <w:sz w:val="18"/>
          <w:szCs w:val="18"/>
          <w:color w:val="auto"/>
        </w:rPr>
        <w:t>" includes any individual, any partnership, any company; any state, politcal sub-division of a state and local or municipal authority; and any internatonal organisaton;</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policy</w:t>
      </w:r>
      <w:r>
        <w:rPr>
          <w:rFonts w:ascii="Calibri" w:cs="Calibri" w:eastAsia="Calibri" w:hAnsi="Calibri"/>
          <w:sz w:val="18"/>
          <w:szCs w:val="18"/>
          <w:color w:val="auto"/>
        </w:rPr>
        <w:t>", in relaton to any insurance, includes a slip, cover note, certfcate of entry or other document evidencing the contract of insurance or its terms;</w:t>
      </w:r>
    </w:p>
    <w:p>
      <w:pPr>
        <w:spacing w:after="0" w:line="184" w:lineRule="exact"/>
        <w:rPr>
          <w:sz w:val="20"/>
          <w:szCs w:val="20"/>
          <w:color w:val="auto"/>
        </w:rPr>
      </w:pPr>
    </w:p>
    <w:p>
      <w:pPr>
        <w:jc w:val="both"/>
        <w:ind w:left="600"/>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protecton and indemnity risks</w:t>
      </w:r>
      <w:r>
        <w:rPr>
          <w:rFonts w:ascii="Calibri" w:cs="Calibri" w:eastAsia="Calibri" w:hAnsi="Calibri"/>
          <w:sz w:val="18"/>
          <w:szCs w:val="18"/>
          <w:color w:val="auto"/>
        </w:rPr>
        <w:t>" means the usual risks covered by a protecton and indemnity associaton managed in London, including polluton risks and the proporton (if any) of any sums payable to any other person or persons in case of collision which are not recoverable under the hull and machinery policies by reason of the incorporaton in them of clause 1 of the Insttute Time Clauses (Hulls) (1/10/83) or clause 6 of the Internatonal Hull Clauses (1/11/02) (1/11/03) or clause 8 of the Insttute Time Clauses (Hulls) (1/11/1995) or the Insttute Amended Running Down Clause (1/10/71) or any equivalent provision;</w:t>
      </w:r>
    </w:p>
    <w:p>
      <w:pPr>
        <w:spacing w:after="0" w:line="186"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regulaton</w:t>
      </w:r>
      <w:r>
        <w:rPr>
          <w:rFonts w:ascii="Calibri" w:cs="Calibri" w:eastAsia="Calibri" w:hAnsi="Calibri"/>
          <w:sz w:val="18"/>
          <w:szCs w:val="18"/>
          <w:color w:val="auto"/>
        </w:rPr>
        <w:t>" includes any regulaton, rule, ofcial directve, request or guideline (either having the force of law or compliance with which is reasonable in the ordinary course of business of the party concerned) of any governmental, intergovernmental or supranatonal body, agency (monetary or otherwise), department, central bank, regulatory, self-regulatory or other authority or organisaton;</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subsidiary</w:t>
      </w:r>
      <w:r>
        <w:rPr>
          <w:rFonts w:ascii="Calibri" w:cs="Calibri" w:eastAsia="Calibri" w:hAnsi="Calibri"/>
          <w:sz w:val="18"/>
          <w:szCs w:val="18"/>
          <w:color w:val="auto"/>
        </w:rPr>
        <w:t>" has the meaning given in Clause 1.4;</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successor</w:t>
      </w:r>
      <w:r>
        <w:rPr>
          <w:rFonts w:ascii="Calibri" w:cs="Calibri" w:eastAsia="Calibri" w:hAnsi="Calibri"/>
          <w:sz w:val="18"/>
          <w:szCs w:val="18"/>
          <w:color w:val="auto"/>
        </w:rPr>
        <w:t>" includes any person who is enttled (by assignment, novaton, merger or otherwise) to any person's rights under this Agreement or any other Finance Document (or any interest in those rights) or who, as administrator, liquidator or otherwise, is enttled to exercise those rights; and in partcular references to a successor include a person to whom those rights (or any interest in those rights) are transferred or pass as a result of a merger, division, reconstructon or other reorganisaton of it or any other person;</w:t>
      </w:r>
    </w:p>
    <w:p>
      <w:pPr>
        <w:spacing w:after="0" w:line="185"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tax</w:t>
      </w:r>
      <w:r>
        <w:rPr>
          <w:rFonts w:ascii="Calibri" w:cs="Calibri" w:eastAsia="Calibri" w:hAnsi="Calibri"/>
          <w:sz w:val="18"/>
          <w:szCs w:val="18"/>
          <w:color w:val="auto"/>
        </w:rPr>
        <w:t>" includes any present or future tax, duty, impost, levy or charge of any kind which is imposed by any state, any politcal sub-division of a state or any local or municipal authority (including any such imposed in connecton with exchange controls), and any connected penalty, interest or fne; and</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war risks</w:t>
      </w:r>
      <w:r>
        <w:rPr>
          <w:rFonts w:ascii="Calibri" w:cs="Calibri" w:eastAsia="Calibri" w:hAnsi="Calibri"/>
          <w:sz w:val="18"/>
          <w:szCs w:val="18"/>
          <w:color w:val="auto"/>
        </w:rPr>
        <w:t>" includes the risk of mines and all risks excluded by clauses 29, 30 or 31 of the Internatonal Hull Clauses (1/11/02), clauses 29 or 30 of the Internatonal Hull Clauses (1/11/03), clauses 24, 25 or 26 of the Insttute Time Clauses (Hulls) (1/11/95) or clauses 23, 24 or 25 of the Insttute Time Clauses (Hulls) (1/10/83) or any equivalent provision.</w:t>
      </w:r>
    </w:p>
    <w:p>
      <w:pPr>
        <w:spacing w:after="0" w:line="184" w:lineRule="exact"/>
        <w:rPr>
          <w:sz w:val="20"/>
          <w:szCs w:val="20"/>
          <w:color w:val="auto"/>
        </w:rPr>
      </w:pPr>
    </w:p>
    <w:p>
      <w:pPr>
        <w:jc w:val="both"/>
        <w:ind w:left="580" w:hanging="580"/>
        <w:spacing w:after="0" w:line="223" w:lineRule="auto"/>
        <w:tabs>
          <w:tab w:leader="none" w:pos="580" w:val="left"/>
        </w:tabs>
        <w:numPr>
          <w:ilvl w:val="0"/>
          <w:numId w:val="214"/>
        </w:numPr>
        <w:rPr>
          <w:rFonts w:ascii="Calibri" w:cs="Calibri" w:eastAsia="Calibri" w:hAnsi="Calibri"/>
          <w:sz w:val="18"/>
          <w:szCs w:val="18"/>
          <w:color w:val="auto"/>
        </w:rPr>
      </w:pPr>
      <w:r>
        <w:rPr>
          <w:rFonts w:ascii="Calibri" w:cs="Calibri" w:eastAsia="Calibri" w:hAnsi="Calibri"/>
          <w:sz w:val="18"/>
          <w:szCs w:val="18"/>
          <w:color w:val="auto"/>
        </w:rPr>
        <w:t>a Lender's "</w:t>
      </w:r>
      <w:r>
        <w:rPr>
          <w:rFonts w:ascii="Calibri" w:cs="Calibri" w:eastAsia="Calibri" w:hAnsi="Calibri"/>
          <w:sz w:val="18"/>
          <w:szCs w:val="18"/>
          <w:b w:val="1"/>
          <w:bCs w:val="1"/>
          <w:color w:val="auto"/>
        </w:rPr>
        <w:t>cost of funds</w:t>
      </w:r>
      <w:r>
        <w:rPr>
          <w:rFonts w:ascii="Calibri" w:cs="Calibri" w:eastAsia="Calibri" w:hAnsi="Calibri"/>
          <w:sz w:val="18"/>
          <w:szCs w:val="18"/>
          <w:color w:val="auto"/>
        </w:rPr>
        <w:t>" in relaton to its partcipaton in the Loan or any part of the Loan is a reference to the average cost (determined either on an actual or a notonal basis) which that Lender would incur if it were to fund, from whatever source(s) it may reasonably select, an amount equal to the amount of that partcipaton in the Loan or the relevant part of the Loan for a period equal in length to the Interest Period of the Loan or the relevant part of the Loan;</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214"/>
        </w:numPr>
        <w:rPr>
          <w:rFonts w:ascii="Calibri" w:cs="Calibri" w:eastAsia="Calibri" w:hAnsi="Calibri"/>
          <w:sz w:val="18"/>
          <w:szCs w:val="18"/>
          <w:color w:val="auto"/>
        </w:rPr>
      </w:pPr>
      <w:r>
        <w:rPr>
          <w:rFonts w:ascii="Calibri" w:cs="Calibri" w:eastAsia="Calibri" w:hAnsi="Calibri"/>
          <w:sz w:val="18"/>
          <w:szCs w:val="18"/>
          <w:color w:val="auto"/>
        </w:rPr>
        <w:t>a reference to a page or screen of an informaton service displaying a rate shall include:</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14"/>
        </w:numPr>
        <w:rPr>
          <w:rFonts w:ascii="Calibri" w:cs="Calibri" w:eastAsia="Calibri" w:hAnsi="Calibri"/>
          <w:sz w:val="18"/>
          <w:szCs w:val="18"/>
          <w:color w:val="auto"/>
        </w:rPr>
      </w:pPr>
      <w:r>
        <w:rPr>
          <w:rFonts w:ascii="Calibri" w:cs="Calibri" w:eastAsia="Calibri" w:hAnsi="Calibri"/>
          <w:sz w:val="18"/>
          <w:szCs w:val="18"/>
          <w:color w:val="auto"/>
        </w:rPr>
        <w:t>any replacement page of that informaton service which displays that rate; and</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214"/>
        </w:numPr>
        <w:rPr>
          <w:rFonts w:ascii="Calibri" w:cs="Calibri" w:eastAsia="Calibri" w:hAnsi="Calibri"/>
          <w:sz w:val="18"/>
          <w:szCs w:val="18"/>
          <w:color w:val="auto"/>
        </w:rPr>
      </w:pPr>
      <w:r>
        <w:rPr>
          <w:rFonts w:ascii="Calibri" w:cs="Calibri" w:eastAsia="Calibri" w:hAnsi="Calibri"/>
          <w:sz w:val="18"/>
          <w:szCs w:val="18"/>
          <w:color w:val="auto"/>
        </w:rPr>
        <w:t>the appropriate page of such other informaton service which displays that rate from tme to tme in place of that informaton service,</w:t>
      </w:r>
    </w:p>
    <w:p>
      <w:pPr>
        <w:spacing w:after="0" w:line="381" w:lineRule="exact"/>
        <w:rPr>
          <w:sz w:val="20"/>
          <w:szCs w:val="20"/>
          <w:color w:val="auto"/>
        </w:rPr>
      </w:pPr>
    </w:p>
    <w:p>
      <w:pPr>
        <w:jc w:val="both"/>
        <w:ind w:left="5540"/>
        <w:spacing w:after="0"/>
        <w:tabs>
          <w:tab w:leader="none" w:pos="9919"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67" w:name="page168"/>
    <w:bookmarkEnd w:id="167"/>
    <w:p>
      <w:pPr>
        <w:ind w:left="600"/>
        <w:spacing w:after="0" w:line="228" w:lineRule="auto"/>
        <w:rPr>
          <w:sz w:val="20"/>
          <w:szCs w:val="20"/>
          <w:color w:val="auto"/>
        </w:rPr>
      </w:pPr>
      <w:r>
        <w:rPr>
          <w:rFonts w:ascii="Calibri" w:cs="Calibri" w:eastAsia="Calibri" w:hAnsi="Calibri"/>
          <w:sz w:val="18"/>
          <w:szCs w:val="18"/>
          <w:color w:val="auto"/>
        </w:rPr>
        <w:t>and, if such page or service ceases to be available, shall include any other page or service displaying that rate specifed by the Agent afer consultaton with the Borrower;</w:t>
      </w:r>
    </w:p>
    <w:p>
      <w:pPr>
        <w:spacing w:after="0" w:line="182" w:lineRule="exact"/>
        <w:rPr>
          <w:sz w:val="20"/>
          <w:szCs w:val="20"/>
          <w:color w:val="auto"/>
        </w:rPr>
      </w:pPr>
    </w:p>
    <w:p>
      <w:pPr>
        <w:ind w:left="580" w:hanging="580"/>
        <w:spacing w:after="0"/>
        <w:tabs>
          <w:tab w:leader="none" w:pos="580" w:val="left"/>
        </w:tabs>
        <w:numPr>
          <w:ilvl w:val="0"/>
          <w:numId w:val="215"/>
        </w:numPr>
        <w:rPr>
          <w:rFonts w:ascii="Calibri" w:cs="Calibri" w:eastAsia="Calibri" w:hAnsi="Calibri"/>
          <w:sz w:val="18"/>
          <w:szCs w:val="18"/>
          <w:color w:val="auto"/>
        </w:rPr>
      </w:pPr>
      <w:r>
        <w:rPr>
          <w:rFonts w:ascii="Calibri" w:cs="Calibri" w:eastAsia="Calibri" w:hAnsi="Calibri"/>
          <w:sz w:val="18"/>
          <w:szCs w:val="18"/>
          <w:color w:val="auto"/>
        </w:rPr>
        <w:t>a reference to a "</w:t>
      </w:r>
      <w:r>
        <w:rPr>
          <w:rFonts w:ascii="Calibri" w:cs="Calibri" w:eastAsia="Calibri" w:hAnsi="Calibri"/>
          <w:sz w:val="18"/>
          <w:szCs w:val="18"/>
          <w:b w:val="1"/>
          <w:bCs w:val="1"/>
          <w:color w:val="auto"/>
        </w:rPr>
        <w:t>Central Bank Rate</w:t>
      </w:r>
      <w:r>
        <w:rPr>
          <w:rFonts w:ascii="Calibri" w:cs="Calibri" w:eastAsia="Calibri" w:hAnsi="Calibri"/>
          <w:sz w:val="18"/>
          <w:szCs w:val="18"/>
          <w:color w:val="auto"/>
        </w:rPr>
        <w:t>" shall include any successor rate to, or replacement rate for, that rate;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15"/>
        </w:numPr>
        <w:rPr>
          <w:rFonts w:ascii="Calibri" w:cs="Calibri" w:eastAsia="Calibri" w:hAnsi="Calibri"/>
          <w:sz w:val="18"/>
          <w:szCs w:val="18"/>
          <w:color w:val="auto"/>
        </w:rPr>
      </w:pPr>
      <w:r>
        <w:rPr>
          <w:rFonts w:ascii="Calibri" w:cs="Calibri" w:eastAsia="Calibri" w:hAnsi="Calibri"/>
          <w:sz w:val="18"/>
          <w:szCs w:val="18"/>
          <w:color w:val="auto"/>
        </w:rPr>
        <w:t>any Reference Rate Supplement overrides anything in: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15"/>
        </w:numPr>
        <w:rPr>
          <w:rFonts w:ascii="Calibri" w:cs="Calibri" w:eastAsia="Calibri" w:hAnsi="Calibri"/>
          <w:sz w:val="18"/>
          <w:szCs w:val="18"/>
          <w:color w:val="auto"/>
        </w:rPr>
      </w:pPr>
      <w:r>
        <w:rPr>
          <w:rFonts w:ascii="Calibri" w:cs="Calibri" w:eastAsia="Calibri" w:hAnsi="Calibri"/>
          <w:sz w:val="18"/>
          <w:szCs w:val="18"/>
          <w:color w:val="auto"/>
        </w:rPr>
        <w:t>Schedule 7 (</w:t>
      </w:r>
      <w:r>
        <w:rPr>
          <w:rFonts w:ascii="Calibri" w:cs="Calibri" w:eastAsia="Calibri" w:hAnsi="Calibri"/>
          <w:sz w:val="18"/>
          <w:szCs w:val="18"/>
          <w:i w:val="1"/>
          <w:iCs w:val="1"/>
          <w:color w:val="auto"/>
        </w:rPr>
        <w:t>Reference Rate Terms</w:t>
      </w:r>
      <w:r>
        <w:rPr>
          <w:rFonts w:ascii="Calibri" w:cs="Calibri" w:eastAsia="Calibri" w:hAnsi="Calibri"/>
          <w:sz w:val="18"/>
          <w:szCs w:val="18"/>
          <w:color w:val="auto"/>
        </w:rPr>
        <w:t>);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15"/>
        </w:numPr>
        <w:rPr>
          <w:rFonts w:ascii="Calibri" w:cs="Calibri" w:eastAsia="Calibri" w:hAnsi="Calibri"/>
          <w:sz w:val="18"/>
          <w:szCs w:val="18"/>
          <w:color w:val="auto"/>
        </w:rPr>
      </w:pPr>
      <w:r>
        <w:rPr>
          <w:rFonts w:ascii="Calibri" w:cs="Calibri" w:eastAsia="Calibri" w:hAnsi="Calibri"/>
          <w:sz w:val="18"/>
          <w:szCs w:val="18"/>
          <w:color w:val="auto"/>
        </w:rPr>
        <w:t>any earlier Reference Rate Supplement;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5"/>
        </w:numPr>
        <w:rPr>
          <w:rFonts w:ascii="Calibri" w:cs="Calibri" w:eastAsia="Calibri" w:hAnsi="Calibri"/>
          <w:sz w:val="18"/>
          <w:szCs w:val="18"/>
          <w:color w:val="auto"/>
        </w:rPr>
      </w:pPr>
      <w:r>
        <w:rPr>
          <w:rFonts w:ascii="Calibri" w:cs="Calibri" w:eastAsia="Calibri" w:hAnsi="Calibri"/>
          <w:sz w:val="18"/>
          <w:szCs w:val="18"/>
          <w:color w:val="auto"/>
        </w:rPr>
        <w:t>a Compounding Methodology Supplement relatng to the Daily Non-Cumulatve Compounded RFR Rate or the Cumulatve Compounded RFR Rate overrides anything relatng to that rate in:</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215"/>
        </w:numPr>
        <w:rPr>
          <w:rFonts w:ascii="Calibri" w:cs="Calibri" w:eastAsia="Calibri" w:hAnsi="Calibri"/>
          <w:sz w:val="18"/>
          <w:szCs w:val="18"/>
          <w:color w:val="auto"/>
        </w:rPr>
      </w:pPr>
      <w:r>
        <w:rPr>
          <w:rFonts w:ascii="Calibri" w:cs="Calibri" w:eastAsia="Calibri" w:hAnsi="Calibri"/>
          <w:sz w:val="18"/>
          <w:szCs w:val="18"/>
          <w:color w:val="auto"/>
        </w:rPr>
        <w:t>Schedule 8 (</w:t>
      </w:r>
      <w:r>
        <w:rPr>
          <w:rFonts w:ascii="Calibri" w:cs="Calibri" w:eastAsia="Calibri" w:hAnsi="Calibri"/>
          <w:sz w:val="18"/>
          <w:szCs w:val="18"/>
          <w:i w:val="1"/>
          <w:iCs w:val="1"/>
          <w:color w:val="auto"/>
        </w:rPr>
        <w:t>Daily Non-Cumulatve Compounded RFR Rate</w:t>
      </w:r>
      <w:r>
        <w:rPr>
          <w:rFonts w:ascii="Calibri" w:cs="Calibri" w:eastAsia="Calibri" w:hAnsi="Calibri"/>
          <w:sz w:val="18"/>
          <w:szCs w:val="18"/>
          <w:color w:val="auto"/>
        </w:rPr>
        <w:t>) or Schedule 9 (</w:t>
      </w:r>
      <w:r>
        <w:rPr>
          <w:rFonts w:ascii="Calibri" w:cs="Calibri" w:eastAsia="Calibri" w:hAnsi="Calibri"/>
          <w:sz w:val="18"/>
          <w:szCs w:val="18"/>
          <w:i w:val="1"/>
          <w:iCs w:val="1"/>
          <w:color w:val="auto"/>
        </w:rPr>
        <w:t>Cumulatve Compounded RFR Rate</w:t>
      </w:r>
      <w:r>
        <w:rPr>
          <w:rFonts w:ascii="Calibri" w:cs="Calibri" w:eastAsia="Calibri" w:hAnsi="Calibri"/>
          <w:sz w:val="18"/>
          <w:szCs w:val="18"/>
          <w:color w:val="auto"/>
        </w:rPr>
        <w:t>), as the case may be; or</w:t>
      </w:r>
    </w:p>
    <w:p>
      <w:pPr>
        <w:spacing w:after="0" w:line="379" w:lineRule="exact"/>
        <w:rPr>
          <w:rFonts w:ascii="Calibri" w:cs="Calibri" w:eastAsia="Calibri" w:hAnsi="Calibri"/>
          <w:sz w:val="18"/>
          <w:szCs w:val="18"/>
          <w:color w:val="auto"/>
        </w:rPr>
      </w:pPr>
    </w:p>
    <w:p>
      <w:pPr>
        <w:ind w:left="1180" w:hanging="591"/>
        <w:spacing w:after="0"/>
        <w:tabs>
          <w:tab w:leader="none" w:pos="1180" w:val="left"/>
        </w:tabs>
        <w:numPr>
          <w:ilvl w:val="1"/>
          <w:numId w:val="215"/>
        </w:numPr>
        <w:rPr>
          <w:rFonts w:ascii="Calibri" w:cs="Calibri" w:eastAsia="Calibri" w:hAnsi="Calibri"/>
          <w:sz w:val="18"/>
          <w:szCs w:val="18"/>
          <w:color w:val="auto"/>
        </w:rPr>
      </w:pPr>
      <w:r>
        <w:rPr>
          <w:rFonts w:ascii="Calibri" w:cs="Calibri" w:eastAsia="Calibri" w:hAnsi="Calibri"/>
          <w:sz w:val="18"/>
          <w:szCs w:val="18"/>
          <w:color w:val="auto"/>
        </w:rPr>
        <w:t>any earlier Compounding Methodology Supplement.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w:t>
      </w:r>
      <w:r>
        <w:rPr>
          <w:sz w:val="20"/>
          <w:szCs w:val="20"/>
          <w:color w:val="auto"/>
        </w:rPr>
        <w:tab/>
      </w:r>
      <w:r>
        <w:rPr>
          <w:rFonts w:ascii="Calibri" w:cs="Calibri" w:eastAsia="Calibri" w:hAnsi="Calibri"/>
          <w:sz w:val="18"/>
          <w:szCs w:val="18"/>
          <w:b w:val="1"/>
          <w:bCs w:val="1"/>
          <w:color w:val="auto"/>
        </w:rPr>
        <w:t>Meaning of "month"</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 period of one or more "</w:t>
      </w:r>
      <w:r>
        <w:rPr>
          <w:rFonts w:ascii="Calibri" w:cs="Calibri" w:eastAsia="Calibri" w:hAnsi="Calibri"/>
          <w:sz w:val="18"/>
          <w:szCs w:val="18"/>
          <w:b w:val="1"/>
          <w:bCs w:val="1"/>
          <w:color w:val="auto"/>
        </w:rPr>
        <w:t>months</w:t>
      </w:r>
      <w:r>
        <w:rPr>
          <w:rFonts w:ascii="Calibri" w:cs="Calibri" w:eastAsia="Calibri" w:hAnsi="Calibri"/>
          <w:sz w:val="18"/>
          <w:szCs w:val="18"/>
          <w:color w:val="auto"/>
        </w:rPr>
        <w:t>" ends on the day in the relevant calendar month numerically corresponding to the day of the calendar month on which the period started ("</w:t>
      </w:r>
      <w:r>
        <w:rPr>
          <w:rFonts w:ascii="Calibri" w:cs="Calibri" w:eastAsia="Calibri" w:hAnsi="Calibri"/>
          <w:sz w:val="18"/>
          <w:szCs w:val="18"/>
          <w:b w:val="1"/>
          <w:bCs w:val="1"/>
          <w:color w:val="auto"/>
        </w:rPr>
        <w:t>the numerically corresponding day</w:t>
      </w:r>
      <w:r>
        <w:rPr>
          <w:rFonts w:ascii="Calibri" w:cs="Calibri" w:eastAsia="Calibri" w:hAnsi="Calibri"/>
          <w:sz w:val="18"/>
          <w:szCs w:val="18"/>
          <w:color w:val="auto"/>
        </w:rPr>
        <w:t>"), but:</w:t>
      </w:r>
    </w:p>
    <w:p>
      <w:pPr>
        <w:spacing w:after="0" w:line="184" w:lineRule="exact"/>
        <w:rPr>
          <w:sz w:val="20"/>
          <w:szCs w:val="20"/>
          <w:color w:val="auto"/>
        </w:rPr>
      </w:pPr>
    </w:p>
    <w:p>
      <w:pPr>
        <w:ind w:left="580" w:hanging="580"/>
        <w:spacing w:after="0" w:line="228" w:lineRule="auto"/>
        <w:tabs>
          <w:tab w:leader="none" w:pos="580" w:val="left"/>
        </w:tabs>
        <w:numPr>
          <w:ilvl w:val="0"/>
          <w:numId w:val="216"/>
        </w:numPr>
        <w:rPr>
          <w:rFonts w:ascii="Calibri" w:cs="Calibri" w:eastAsia="Calibri" w:hAnsi="Calibri"/>
          <w:sz w:val="18"/>
          <w:szCs w:val="18"/>
          <w:color w:val="auto"/>
        </w:rPr>
      </w:pPr>
      <w:r>
        <w:rPr>
          <w:rFonts w:ascii="Calibri" w:cs="Calibri" w:eastAsia="Calibri" w:hAnsi="Calibri"/>
          <w:sz w:val="18"/>
          <w:szCs w:val="18"/>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6"/>
        </w:numPr>
        <w:rPr>
          <w:rFonts w:ascii="Calibri" w:cs="Calibri" w:eastAsia="Calibri" w:hAnsi="Calibri"/>
          <w:sz w:val="18"/>
          <w:szCs w:val="18"/>
          <w:color w:val="auto"/>
        </w:rPr>
      </w:pPr>
      <w:r>
        <w:rPr>
          <w:rFonts w:ascii="Calibri" w:cs="Calibri" w:eastAsia="Calibri" w:hAnsi="Calibri"/>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and "</w:t>
      </w:r>
      <w:r>
        <w:rPr>
          <w:rFonts w:ascii="Calibri" w:cs="Calibri" w:eastAsia="Calibri" w:hAnsi="Calibri"/>
          <w:sz w:val="18"/>
          <w:szCs w:val="18"/>
          <w:b w:val="1"/>
          <w:bCs w:val="1"/>
          <w:color w:val="auto"/>
        </w:rPr>
        <w:t>month</w:t>
      </w:r>
      <w:r>
        <w:rPr>
          <w:rFonts w:ascii="Calibri" w:cs="Calibri" w:eastAsia="Calibri" w:hAnsi="Calibri"/>
          <w:sz w:val="18"/>
          <w:szCs w:val="18"/>
          <w:color w:val="auto"/>
        </w:rPr>
        <w:t>" and "</w:t>
      </w:r>
      <w:r>
        <w:rPr>
          <w:rFonts w:ascii="Calibri" w:cs="Calibri" w:eastAsia="Calibri" w:hAnsi="Calibri"/>
          <w:sz w:val="18"/>
          <w:szCs w:val="18"/>
          <w:b w:val="1"/>
          <w:bCs w:val="1"/>
          <w:color w:val="auto"/>
        </w:rPr>
        <w:t>monthly</w:t>
      </w:r>
      <w:r>
        <w:rPr>
          <w:rFonts w:ascii="Calibri" w:cs="Calibri" w:eastAsia="Calibri" w:hAnsi="Calibri"/>
          <w:sz w:val="18"/>
          <w:szCs w:val="18"/>
          <w:color w:val="auto"/>
        </w:rPr>
        <w:t>" shall be construed accordingly.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w:t>
      </w:r>
      <w:r>
        <w:rPr>
          <w:sz w:val="20"/>
          <w:szCs w:val="20"/>
          <w:color w:val="auto"/>
        </w:rPr>
        <w:tab/>
      </w:r>
      <w:r>
        <w:rPr>
          <w:rFonts w:ascii="Calibri" w:cs="Calibri" w:eastAsia="Calibri" w:hAnsi="Calibri"/>
          <w:sz w:val="18"/>
          <w:szCs w:val="18"/>
          <w:b w:val="1"/>
          <w:bCs w:val="1"/>
          <w:color w:val="auto"/>
        </w:rPr>
        <w:t>Meaning of "subsidiary"</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company (S) is a subsidiary of another company (P) if:</w:t>
      </w:r>
    </w:p>
    <w:p>
      <w:pPr>
        <w:spacing w:after="0" w:line="183" w:lineRule="exact"/>
        <w:rPr>
          <w:sz w:val="20"/>
          <w:szCs w:val="20"/>
          <w:color w:val="auto"/>
        </w:rPr>
      </w:pPr>
    </w:p>
    <w:p>
      <w:pPr>
        <w:ind w:left="580" w:hanging="580"/>
        <w:spacing w:after="0" w:line="228" w:lineRule="auto"/>
        <w:tabs>
          <w:tab w:leader="none" w:pos="580" w:val="left"/>
        </w:tabs>
        <w:numPr>
          <w:ilvl w:val="0"/>
          <w:numId w:val="217"/>
        </w:numPr>
        <w:rPr>
          <w:rFonts w:ascii="Calibri" w:cs="Calibri" w:eastAsia="Calibri" w:hAnsi="Calibri"/>
          <w:sz w:val="18"/>
          <w:szCs w:val="18"/>
          <w:color w:val="auto"/>
        </w:rPr>
      </w:pPr>
      <w:r>
        <w:rPr>
          <w:rFonts w:ascii="Calibri" w:cs="Calibri" w:eastAsia="Calibri" w:hAnsi="Calibri"/>
          <w:sz w:val="18"/>
          <w:szCs w:val="18"/>
          <w:color w:val="auto"/>
        </w:rPr>
        <w:t>a majority of the issued shares in S (or a majority of the issued shares in S which carry unlimited rights to capital and income distributons) are directly owned by P or are indirectly atributable to P;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7"/>
        </w:numPr>
        <w:rPr>
          <w:rFonts w:ascii="Calibri" w:cs="Calibri" w:eastAsia="Calibri" w:hAnsi="Calibri"/>
          <w:sz w:val="18"/>
          <w:szCs w:val="18"/>
          <w:color w:val="auto"/>
        </w:rPr>
      </w:pPr>
      <w:r>
        <w:rPr>
          <w:rFonts w:ascii="Calibri" w:cs="Calibri" w:eastAsia="Calibri" w:hAnsi="Calibri"/>
          <w:sz w:val="18"/>
          <w:szCs w:val="18"/>
          <w:color w:val="auto"/>
        </w:rPr>
        <w:t>P has direct or (other than for the purposes of the defniton of "Group") indirect control over a majority of the votng rights ataching to the issued shares of S;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7"/>
        </w:numPr>
        <w:rPr>
          <w:rFonts w:ascii="Calibri" w:cs="Calibri" w:eastAsia="Calibri" w:hAnsi="Calibri"/>
          <w:sz w:val="18"/>
          <w:szCs w:val="18"/>
          <w:color w:val="auto"/>
        </w:rPr>
      </w:pPr>
      <w:r>
        <w:rPr>
          <w:rFonts w:ascii="Calibri" w:cs="Calibri" w:eastAsia="Calibri" w:hAnsi="Calibri"/>
          <w:sz w:val="18"/>
          <w:szCs w:val="18"/>
          <w:color w:val="auto"/>
        </w:rPr>
        <w:t>P has the direct or (other than for the purposes of the defniton of "Group") indirect power to appoint or remove a majority of the directors of S;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7"/>
        </w:numPr>
        <w:rPr>
          <w:rFonts w:ascii="Calibri" w:cs="Calibri" w:eastAsia="Calibri" w:hAnsi="Calibri"/>
          <w:sz w:val="18"/>
          <w:szCs w:val="18"/>
          <w:color w:val="auto"/>
        </w:rPr>
      </w:pPr>
      <w:r>
        <w:rPr>
          <w:rFonts w:ascii="Calibri" w:cs="Calibri" w:eastAsia="Calibri" w:hAnsi="Calibri"/>
          <w:sz w:val="18"/>
          <w:szCs w:val="18"/>
          <w:color w:val="auto"/>
        </w:rPr>
        <w:t>P otherwise has the direct or (other than for the purposes of the defniton of "Group") indirect power to ensure that the afairs of S are conducted in accordance with the wishes of P,</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and any company of which S is a subsidiary is a parent company of S.</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68" w:name="page169"/>
    <w:bookmarkEnd w:id="168"/>
    <w:p>
      <w:pPr>
        <w:spacing w:after="0"/>
        <w:tabs>
          <w:tab w:leader="none" w:pos="560" w:val="left"/>
        </w:tabs>
        <w:rPr>
          <w:sz w:val="20"/>
          <w:szCs w:val="20"/>
          <w:color w:val="auto"/>
        </w:rPr>
      </w:pPr>
      <w:r>
        <w:rPr>
          <w:rFonts w:ascii="Calibri" w:cs="Calibri" w:eastAsia="Calibri" w:hAnsi="Calibri"/>
          <w:sz w:val="18"/>
          <w:szCs w:val="18"/>
          <w:b w:val="1"/>
          <w:bCs w:val="1"/>
          <w:color w:val="auto"/>
        </w:rPr>
        <w:t>1.5</w:t>
      </w:r>
      <w:r>
        <w:rPr>
          <w:sz w:val="20"/>
          <w:szCs w:val="20"/>
          <w:color w:val="auto"/>
        </w:rPr>
        <w:tab/>
      </w:r>
      <w:r>
        <w:rPr>
          <w:rFonts w:ascii="Calibri" w:cs="Calibri" w:eastAsia="Calibri" w:hAnsi="Calibri"/>
          <w:sz w:val="18"/>
          <w:szCs w:val="18"/>
          <w:b w:val="1"/>
          <w:bCs w:val="1"/>
          <w:color w:val="auto"/>
        </w:rPr>
        <w:t>General Interpretaton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this Agreement:</w:t>
      </w:r>
    </w:p>
    <w:p>
      <w:pPr>
        <w:spacing w:after="0" w:line="183" w:lineRule="exact"/>
        <w:rPr>
          <w:sz w:val="20"/>
          <w:szCs w:val="20"/>
          <w:color w:val="auto"/>
        </w:rPr>
      </w:pPr>
    </w:p>
    <w:p>
      <w:pPr>
        <w:ind w:left="580" w:hanging="580"/>
        <w:spacing w:after="0" w:line="228" w:lineRule="auto"/>
        <w:tabs>
          <w:tab w:leader="none" w:pos="580" w:val="left"/>
        </w:tabs>
        <w:numPr>
          <w:ilvl w:val="0"/>
          <w:numId w:val="218"/>
        </w:numPr>
        <w:rPr>
          <w:rFonts w:ascii="Calibri" w:cs="Calibri" w:eastAsia="Calibri" w:hAnsi="Calibri"/>
          <w:sz w:val="18"/>
          <w:szCs w:val="18"/>
          <w:color w:val="auto"/>
        </w:rPr>
      </w:pPr>
      <w:r>
        <w:rPr>
          <w:rFonts w:ascii="Calibri" w:cs="Calibri" w:eastAsia="Calibri" w:hAnsi="Calibri"/>
          <w:sz w:val="18"/>
          <w:szCs w:val="18"/>
          <w:color w:val="auto"/>
        </w:rPr>
        <w:t>references to, or to a provision of, a Finance Document or any other document are references to it as amended or supplemented, whether before the date of this Agreement or otherwise;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18"/>
        </w:numPr>
        <w:rPr>
          <w:rFonts w:ascii="Calibri" w:cs="Calibri" w:eastAsia="Calibri" w:hAnsi="Calibri"/>
          <w:sz w:val="18"/>
          <w:szCs w:val="18"/>
          <w:color w:val="auto"/>
        </w:rPr>
      </w:pPr>
      <w:r>
        <w:rPr>
          <w:rFonts w:ascii="Calibri" w:cs="Calibri" w:eastAsia="Calibri" w:hAnsi="Calibri"/>
          <w:sz w:val="18"/>
          <w:szCs w:val="18"/>
          <w:color w:val="auto"/>
        </w:rPr>
        <w:t>references to, or to a provision of, any law include any amendment, extension, re-enactment or replacement, whether made before the date of this Agreement or otherwise;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18"/>
        </w:numPr>
        <w:rPr>
          <w:rFonts w:ascii="Calibri" w:cs="Calibri" w:eastAsia="Calibri" w:hAnsi="Calibri"/>
          <w:sz w:val="18"/>
          <w:szCs w:val="18"/>
          <w:color w:val="auto"/>
        </w:rPr>
      </w:pPr>
      <w:r>
        <w:rPr>
          <w:rFonts w:ascii="Calibri" w:cs="Calibri" w:eastAsia="Calibri" w:hAnsi="Calibri"/>
          <w:sz w:val="18"/>
          <w:szCs w:val="18"/>
          <w:color w:val="auto"/>
        </w:rPr>
        <w:t>words denotng the singular number shall include the plural and vice versa;</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18"/>
        </w:numPr>
        <w:rPr>
          <w:rFonts w:ascii="Calibri" w:cs="Calibri" w:eastAsia="Calibri" w:hAnsi="Calibri"/>
          <w:sz w:val="18"/>
          <w:szCs w:val="18"/>
          <w:color w:val="auto"/>
        </w:rPr>
      </w:pPr>
      <w:r>
        <w:rPr>
          <w:rFonts w:ascii="Calibri" w:cs="Calibri" w:eastAsia="Calibri" w:hAnsi="Calibri"/>
          <w:sz w:val="18"/>
          <w:szCs w:val="18"/>
          <w:color w:val="auto"/>
        </w:rPr>
        <w:t>in relaton to each Creditor Party that is incorporated in Germany or otherwise notfes the Agent that it has become subject to the regulaton below (each a "</w:t>
      </w:r>
      <w:r>
        <w:rPr>
          <w:rFonts w:ascii="Calibri" w:cs="Calibri" w:eastAsia="Calibri" w:hAnsi="Calibri"/>
          <w:sz w:val="18"/>
          <w:szCs w:val="18"/>
          <w:b w:val="1"/>
          <w:bCs w:val="1"/>
          <w:color w:val="auto"/>
        </w:rPr>
        <w:t>Restricted Lender</w:t>
      </w:r>
      <w:r>
        <w:rPr>
          <w:rFonts w:ascii="Calibri" w:cs="Calibri" w:eastAsia="Calibri" w:hAnsi="Calibri"/>
          <w:sz w:val="18"/>
          <w:szCs w:val="18"/>
          <w:color w:val="auto"/>
        </w:rPr>
        <w:t>"), each Clause referring to Sanctons and/or Restricted Party shall only apply for the beneft of that Restricted Lender to the extent that the relevant sanctons provisions would not result in (i) any violaton of, confict with or liability under EU Regulaton (EC) 2271/96 or (ii) a violaton or confict with secton 7 foreign trade rules (AWV) (</w:t>
      </w:r>
      <w:r>
        <w:rPr>
          <w:rFonts w:ascii="Calibri" w:cs="Calibri" w:eastAsia="Calibri" w:hAnsi="Calibri"/>
          <w:sz w:val="18"/>
          <w:szCs w:val="18"/>
          <w:i w:val="1"/>
          <w:iCs w:val="1"/>
          <w:color w:val="auto"/>
        </w:rPr>
        <w:t>Auâenwirtschafsverordnung</w:t>
      </w:r>
      <w:r>
        <w:rPr>
          <w:rFonts w:ascii="Calibri" w:cs="Calibri" w:eastAsia="Calibri" w:hAnsi="Calibri"/>
          <w:sz w:val="18"/>
          <w:szCs w:val="18"/>
          <w:color w:val="auto"/>
        </w:rPr>
        <w:t xml:space="preserve">) (in connecton with secton 2 paragraph 15 trade law (AWG) </w:t>
      </w:r>
      <w:r>
        <w:rPr>
          <w:rFonts w:ascii="Calibri" w:cs="Calibri" w:eastAsia="Calibri" w:hAnsi="Calibri"/>
          <w:sz w:val="18"/>
          <w:szCs w:val="18"/>
          <w:i w:val="1"/>
          <w:iCs w:val="1"/>
          <w:color w:val="auto"/>
        </w:rPr>
        <w:t>Auâenwirtschafsgesetz</w:t>
      </w:r>
      <w:r>
        <w:rPr>
          <w:rFonts w:ascii="Calibri" w:cs="Calibri" w:eastAsia="Calibri" w:hAnsi="Calibri"/>
          <w:sz w:val="18"/>
          <w:szCs w:val="18"/>
          <w:color w:val="auto"/>
        </w:rPr>
        <w:t>) or a similar ant-boycot statute (the "</w:t>
      </w:r>
      <w:r>
        <w:rPr>
          <w:rFonts w:ascii="Calibri" w:cs="Calibri" w:eastAsia="Calibri" w:hAnsi="Calibri"/>
          <w:sz w:val="18"/>
          <w:szCs w:val="18"/>
          <w:b w:val="1"/>
          <w:bCs w:val="1"/>
          <w:color w:val="auto"/>
        </w:rPr>
        <w:t>Mandatory</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Restrictons</w:t>
      </w:r>
      <w:r>
        <w:rPr>
          <w:rFonts w:ascii="Calibri" w:cs="Calibri" w:eastAsia="Calibri" w:hAnsi="Calibri"/>
          <w:sz w:val="18"/>
          <w:szCs w:val="18"/>
          <w:color w:val="auto"/>
        </w:rPr>
        <w:t>"). In connecton with any determinaton or directon relatng to any part of a Clause of which a Restricted Lender does not have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beneft due to a Mandatory Restricton, and any consequental determinatons to be made or actons to be taken as a result of the inital determinaton or acton relatng to any part of that Clause, for so long as they remain subject to a Mandatory Restricton, the commitments of that Restricted Lender will be excluded for the purpose of determining whether the consent of the Lenders has been obtained or whether the determinaton or directon by the Lenders has been made; and</w:t>
      </w:r>
    </w:p>
    <w:p>
      <w:pPr>
        <w:spacing w:after="0" w:line="224" w:lineRule="exact"/>
        <w:rPr>
          <w:rFonts w:ascii="Calibri" w:cs="Calibri" w:eastAsia="Calibri" w:hAnsi="Calibri"/>
          <w:sz w:val="18"/>
          <w:szCs w:val="18"/>
          <w:color w:val="auto"/>
        </w:rPr>
      </w:pPr>
    </w:p>
    <w:p>
      <w:pPr>
        <w:ind w:left="580" w:hanging="580"/>
        <w:spacing w:after="0"/>
        <w:tabs>
          <w:tab w:leader="none" w:pos="580" w:val="left"/>
        </w:tabs>
        <w:numPr>
          <w:ilvl w:val="0"/>
          <w:numId w:val="218"/>
        </w:numPr>
        <w:rPr>
          <w:rFonts w:ascii="Calibri" w:cs="Calibri" w:eastAsia="Calibri" w:hAnsi="Calibri"/>
          <w:sz w:val="18"/>
          <w:szCs w:val="18"/>
          <w:color w:val="auto"/>
        </w:rPr>
      </w:pPr>
      <w:r>
        <w:rPr>
          <w:rFonts w:ascii="Calibri" w:cs="Calibri" w:eastAsia="Calibri" w:hAnsi="Calibri"/>
          <w:sz w:val="18"/>
          <w:szCs w:val="18"/>
          <w:color w:val="auto"/>
        </w:rPr>
        <w:t>Clauses 1.1 to 1.5 apply unless the contrary intenton appears.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w:t>
      </w:r>
      <w:r>
        <w:rPr>
          <w:sz w:val="20"/>
          <w:szCs w:val="20"/>
          <w:color w:val="auto"/>
        </w:rPr>
        <w:tab/>
      </w:r>
      <w:r>
        <w:rPr>
          <w:rFonts w:ascii="Calibri" w:cs="Calibri" w:eastAsia="Calibri" w:hAnsi="Calibri"/>
          <w:sz w:val="18"/>
          <w:szCs w:val="18"/>
          <w:b w:val="1"/>
          <w:bCs w:val="1"/>
          <w:color w:val="auto"/>
        </w:rPr>
        <w:t>Headings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In interpretng a Finance Document or any provision of a Finance Document, all clause, sub-clause and other headings in that and any other Finance Document shall be entrely disregarded.</w:t>
      </w:r>
    </w:p>
    <w:p>
      <w:pPr>
        <w:spacing w:after="0" w:line="182" w:lineRule="exact"/>
        <w:rPr>
          <w:sz w:val="20"/>
          <w:szCs w:val="20"/>
          <w:color w:val="auto"/>
        </w:rPr>
      </w:pPr>
    </w:p>
    <w:p>
      <w:pPr>
        <w:ind w:left="580" w:hanging="580"/>
        <w:spacing w:after="0"/>
        <w:tabs>
          <w:tab w:leader="none" w:pos="580" w:val="left"/>
        </w:tabs>
        <w:numPr>
          <w:ilvl w:val="0"/>
          <w:numId w:val="21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FACILITY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w:t>
      </w:r>
      <w:r>
        <w:rPr>
          <w:sz w:val="20"/>
          <w:szCs w:val="20"/>
          <w:color w:val="auto"/>
        </w:rPr>
        <w:tab/>
      </w:r>
      <w:r>
        <w:rPr>
          <w:rFonts w:ascii="Calibri" w:cs="Calibri" w:eastAsia="Calibri" w:hAnsi="Calibri"/>
          <w:sz w:val="18"/>
          <w:szCs w:val="18"/>
          <w:b w:val="1"/>
          <w:bCs w:val="1"/>
          <w:color w:val="auto"/>
        </w:rPr>
        <w:t>Amount of facility</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other provisions of this Agreement, the Lenders shall make available to the Borrower a senior secured term loan facility of up to $105,000,000, in a single advance, for the purpose stated in the preamble to this Agreement.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2.2</w:t>
      </w:r>
      <w:r>
        <w:rPr>
          <w:sz w:val="20"/>
          <w:szCs w:val="20"/>
          <w:color w:val="auto"/>
        </w:rPr>
        <w:tab/>
      </w:r>
      <w:r>
        <w:rPr>
          <w:rFonts w:ascii="Calibri" w:cs="Calibri" w:eastAsia="Calibri" w:hAnsi="Calibri"/>
          <w:sz w:val="18"/>
          <w:szCs w:val="18"/>
          <w:b w:val="1"/>
          <w:bCs w:val="1"/>
          <w:color w:val="auto"/>
        </w:rPr>
        <w:t>Lenders' partcipatons in the Loan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other provisions of this Agreement, each Lender shall partcipate in the Loan in the proporton which, as at the Drawdown Date, its Commitment bears to the Total Commitments.</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69" w:name="page170"/>
    <w:bookmarkEnd w:id="169"/>
    <w:p>
      <w:pPr>
        <w:ind w:right="8560"/>
        <w:spacing w:after="0" w:line="435" w:lineRule="auto"/>
        <w:tabs>
          <w:tab w:leader="none" w:pos="589" w:val="left"/>
        </w:tabs>
        <w:numPr>
          <w:ilvl w:val="0"/>
          <w:numId w:val="22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POSITION OF THE LENDERS 3.1 Interests several</w:t>
      </w:r>
    </w:p>
    <w:p>
      <w:pPr>
        <w:spacing w:after="0" w:line="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rights of the Lenders under this Agreement are several.</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3.2</w:t>
      </w:r>
      <w:r>
        <w:rPr>
          <w:sz w:val="20"/>
          <w:szCs w:val="20"/>
          <w:color w:val="auto"/>
        </w:rPr>
        <w:tab/>
      </w:r>
      <w:r>
        <w:rPr>
          <w:rFonts w:ascii="Calibri" w:cs="Calibri" w:eastAsia="Calibri" w:hAnsi="Calibri"/>
          <w:sz w:val="18"/>
          <w:szCs w:val="18"/>
          <w:b w:val="1"/>
          <w:bCs w:val="1"/>
          <w:color w:val="auto"/>
        </w:rPr>
        <w:t>Individual right of acton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Each Lender shall be enttled to sue for any amount which has become due and payable by the Borrower to it under this Agreement without joining the Agent, the Security Trustee or any other Lender as additonal partes in the proceedings.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3.3</w:t>
      </w:r>
      <w:r>
        <w:rPr>
          <w:sz w:val="20"/>
          <w:szCs w:val="20"/>
          <w:color w:val="auto"/>
        </w:rPr>
        <w:tab/>
      </w:r>
      <w:r>
        <w:rPr>
          <w:rFonts w:ascii="Calibri" w:cs="Calibri" w:eastAsia="Calibri" w:hAnsi="Calibri"/>
          <w:sz w:val="18"/>
          <w:szCs w:val="18"/>
          <w:b w:val="1"/>
          <w:bCs w:val="1"/>
          <w:color w:val="auto"/>
        </w:rPr>
        <w:t>Proceedings requiring Majority Lender consent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Except as provided in Clause 3.2, no Lender may commence proceedings against the Borrower or any Security Party or any Approved Manager in connecton with a Finance Document without the prior consent of the Majority Lenders.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3.4</w:t>
      </w:r>
      <w:r>
        <w:rPr>
          <w:sz w:val="20"/>
          <w:szCs w:val="20"/>
          <w:color w:val="auto"/>
        </w:rPr>
        <w:tab/>
      </w:r>
      <w:r>
        <w:rPr>
          <w:rFonts w:ascii="Calibri" w:cs="Calibri" w:eastAsia="Calibri" w:hAnsi="Calibri"/>
          <w:sz w:val="18"/>
          <w:szCs w:val="18"/>
          <w:b w:val="1"/>
          <w:bCs w:val="1"/>
          <w:color w:val="auto"/>
        </w:rPr>
        <w:t>Obligatons several</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obligatons of the Lenders under this Agreement are several; and a failure of a Lender to perform its obligatons under this Agreement shall not result in:</w:t>
      </w:r>
    </w:p>
    <w:p>
      <w:pPr>
        <w:spacing w:after="0" w:line="182" w:lineRule="exact"/>
        <w:rPr>
          <w:sz w:val="20"/>
          <w:szCs w:val="20"/>
          <w:color w:val="auto"/>
        </w:rPr>
      </w:pPr>
    </w:p>
    <w:p>
      <w:pPr>
        <w:ind w:left="580" w:hanging="580"/>
        <w:spacing w:after="0"/>
        <w:tabs>
          <w:tab w:leader="none" w:pos="580" w:val="left"/>
        </w:tabs>
        <w:numPr>
          <w:ilvl w:val="0"/>
          <w:numId w:val="221"/>
        </w:numPr>
        <w:rPr>
          <w:rFonts w:ascii="Calibri" w:cs="Calibri" w:eastAsia="Calibri" w:hAnsi="Calibri"/>
          <w:sz w:val="18"/>
          <w:szCs w:val="18"/>
          <w:color w:val="auto"/>
        </w:rPr>
      </w:pPr>
      <w:r>
        <w:rPr>
          <w:rFonts w:ascii="Calibri" w:cs="Calibri" w:eastAsia="Calibri" w:hAnsi="Calibri"/>
          <w:sz w:val="18"/>
          <w:szCs w:val="18"/>
          <w:color w:val="auto"/>
        </w:rPr>
        <w:t>the obligatons of the other Lenders being increased; nor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21"/>
        </w:numPr>
        <w:rPr>
          <w:rFonts w:ascii="Calibri" w:cs="Calibri" w:eastAsia="Calibri" w:hAnsi="Calibri"/>
          <w:sz w:val="18"/>
          <w:szCs w:val="18"/>
          <w:color w:val="auto"/>
        </w:rPr>
      </w:pPr>
      <w:r>
        <w:rPr>
          <w:rFonts w:ascii="Calibri" w:cs="Calibri" w:eastAsia="Calibri" w:hAnsi="Calibri"/>
          <w:sz w:val="18"/>
          <w:szCs w:val="18"/>
          <w:color w:val="auto"/>
        </w:rPr>
        <w:t>the Borrower, any Security Party, any Approved Manager or any other Lender being discharged (in whole or in part) from its obligatons under any Finance Document;</w:t>
      </w:r>
    </w:p>
    <w:p>
      <w:pPr>
        <w:spacing w:after="0" w:line="184"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and in no circumstances shall a Lender have any responsibility for a failure of another Lender to perform its obligatons under this Agreement.</w:t>
      </w:r>
    </w:p>
    <w:p>
      <w:pPr>
        <w:spacing w:after="0" w:line="379" w:lineRule="exact"/>
        <w:rPr>
          <w:sz w:val="20"/>
          <w:szCs w:val="20"/>
          <w:color w:val="auto"/>
        </w:rPr>
      </w:pPr>
    </w:p>
    <w:p>
      <w:pPr>
        <w:ind w:left="580" w:hanging="580"/>
        <w:spacing w:after="0"/>
        <w:tabs>
          <w:tab w:leader="none" w:pos="580" w:val="left"/>
        </w:tabs>
        <w:numPr>
          <w:ilvl w:val="0"/>
          <w:numId w:val="2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DRAWDOWN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4.1</w:t>
      </w:r>
      <w:r>
        <w:rPr>
          <w:sz w:val="20"/>
          <w:szCs w:val="20"/>
          <w:color w:val="auto"/>
        </w:rPr>
        <w:tab/>
      </w:r>
      <w:r>
        <w:rPr>
          <w:rFonts w:ascii="Calibri" w:cs="Calibri" w:eastAsia="Calibri" w:hAnsi="Calibri"/>
          <w:sz w:val="18"/>
          <w:szCs w:val="18"/>
          <w:b w:val="1"/>
          <w:bCs w:val="1"/>
          <w:color w:val="auto"/>
        </w:rPr>
        <w:t>Request for the Loan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following conditons, the Borrower may request the Loan to be borrowed by ensuring that the Agent receives a completed Drawdown Notce not later than 11.00 a.m. (Hamburg tme) 3 Business Days prior to the Drawdown Date.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4.2</w:t>
      </w:r>
      <w:r>
        <w:rPr>
          <w:sz w:val="20"/>
          <w:szCs w:val="20"/>
          <w:color w:val="auto"/>
        </w:rPr>
        <w:tab/>
      </w:r>
      <w:r>
        <w:rPr>
          <w:rFonts w:ascii="Calibri" w:cs="Calibri" w:eastAsia="Calibri" w:hAnsi="Calibri"/>
          <w:sz w:val="18"/>
          <w:szCs w:val="18"/>
          <w:b w:val="1"/>
          <w:bCs w:val="1"/>
          <w:color w:val="auto"/>
        </w:rPr>
        <w:t>Availability</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conditons referred to in Clause 4.1 are that:</w:t>
      </w:r>
    </w:p>
    <w:p>
      <w:pPr>
        <w:spacing w:after="0" w:line="181" w:lineRule="exact"/>
        <w:rPr>
          <w:sz w:val="20"/>
          <w:szCs w:val="20"/>
          <w:color w:val="auto"/>
        </w:rPr>
      </w:pPr>
    </w:p>
    <w:p>
      <w:pPr>
        <w:ind w:left="580" w:hanging="580"/>
        <w:spacing w:after="0"/>
        <w:tabs>
          <w:tab w:leader="none" w:pos="580" w:val="left"/>
        </w:tabs>
        <w:numPr>
          <w:ilvl w:val="0"/>
          <w:numId w:val="223"/>
        </w:numPr>
        <w:rPr>
          <w:rFonts w:ascii="Calibri" w:cs="Calibri" w:eastAsia="Calibri" w:hAnsi="Calibri"/>
          <w:sz w:val="18"/>
          <w:szCs w:val="18"/>
          <w:color w:val="auto"/>
        </w:rPr>
      </w:pPr>
      <w:r>
        <w:rPr>
          <w:rFonts w:ascii="Calibri" w:cs="Calibri" w:eastAsia="Calibri" w:hAnsi="Calibri"/>
          <w:sz w:val="18"/>
          <w:szCs w:val="18"/>
          <w:color w:val="auto"/>
        </w:rPr>
        <w:t>the Drawdown Date has to be a Business Day during the Availability Period;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3"/>
        </w:numPr>
        <w:rPr>
          <w:rFonts w:ascii="Calibri" w:cs="Calibri" w:eastAsia="Calibri" w:hAnsi="Calibri"/>
          <w:sz w:val="18"/>
          <w:szCs w:val="18"/>
          <w:color w:val="auto"/>
        </w:rPr>
      </w:pPr>
      <w:r>
        <w:rPr>
          <w:rFonts w:ascii="Calibri" w:cs="Calibri" w:eastAsia="Calibri" w:hAnsi="Calibri"/>
          <w:sz w:val="18"/>
          <w:szCs w:val="18"/>
          <w:color w:val="auto"/>
        </w:rPr>
        <w:t>the amount of the Loan shall not exceed the Maximum Loan Amount;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23"/>
        </w:numPr>
        <w:rPr>
          <w:rFonts w:ascii="Calibri" w:cs="Calibri" w:eastAsia="Calibri" w:hAnsi="Calibri"/>
          <w:sz w:val="18"/>
          <w:szCs w:val="18"/>
          <w:color w:val="auto"/>
        </w:rPr>
      </w:pPr>
      <w:r>
        <w:rPr>
          <w:rFonts w:ascii="Calibri" w:cs="Calibri" w:eastAsia="Calibri" w:hAnsi="Calibri"/>
          <w:sz w:val="18"/>
          <w:szCs w:val="18"/>
          <w:color w:val="auto"/>
        </w:rPr>
        <w:t>any undrawn porton of the Total Commitments in respect of the borrowing of the Loan shall be automatcally cancelled as at the Drawdown Date;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3"/>
        </w:numPr>
        <w:rPr>
          <w:rFonts w:ascii="Calibri" w:cs="Calibri" w:eastAsia="Calibri" w:hAnsi="Calibri"/>
          <w:sz w:val="18"/>
          <w:szCs w:val="18"/>
          <w:color w:val="auto"/>
        </w:rPr>
      </w:pPr>
      <w:r>
        <w:rPr>
          <w:rFonts w:ascii="Calibri" w:cs="Calibri" w:eastAsia="Calibri" w:hAnsi="Calibri"/>
          <w:sz w:val="18"/>
          <w:szCs w:val="18"/>
          <w:color w:val="auto"/>
        </w:rPr>
        <w:t>the amount of the Loan shall not exceed the Total Commitments.</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70" w:name="page171"/>
    <w:bookmarkEnd w:id="170"/>
    <w:p>
      <w:pPr>
        <w:spacing w:after="0"/>
        <w:tabs>
          <w:tab w:leader="none" w:pos="560" w:val="left"/>
        </w:tabs>
        <w:rPr>
          <w:sz w:val="20"/>
          <w:szCs w:val="20"/>
          <w:color w:val="auto"/>
        </w:rPr>
      </w:pPr>
      <w:r>
        <w:rPr>
          <w:rFonts w:ascii="Calibri" w:cs="Calibri" w:eastAsia="Calibri" w:hAnsi="Calibri"/>
          <w:sz w:val="18"/>
          <w:szCs w:val="18"/>
          <w:b w:val="1"/>
          <w:bCs w:val="1"/>
          <w:color w:val="auto"/>
        </w:rPr>
        <w:t>4.3</w:t>
      </w:r>
      <w:r>
        <w:rPr>
          <w:sz w:val="20"/>
          <w:szCs w:val="20"/>
          <w:color w:val="auto"/>
        </w:rPr>
        <w:tab/>
      </w:r>
      <w:r>
        <w:rPr>
          <w:rFonts w:ascii="Calibri" w:cs="Calibri" w:eastAsia="Calibri" w:hAnsi="Calibri"/>
          <w:sz w:val="18"/>
          <w:szCs w:val="18"/>
          <w:b w:val="1"/>
          <w:bCs w:val="1"/>
          <w:color w:val="auto"/>
        </w:rPr>
        <w:t>Notfcaton to Lenders of receipt of the Drawdown Notce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Agent shall promptly notfy the Lenders that it has received the Drawdown Notce and shall inform each Lender of:</w:t>
      </w:r>
    </w:p>
    <w:p>
      <w:pPr>
        <w:spacing w:after="0" w:line="181" w:lineRule="exact"/>
        <w:rPr>
          <w:sz w:val="20"/>
          <w:szCs w:val="20"/>
          <w:color w:val="auto"/>
        </w:rPr>
      </w:pPr>
    </w:p>
    <w:p>
      <w:pPr>
        <w:ind w:left="580" w:hanging="580"/>
        <w:spacing w:after="0"/>
        <w:tabs>
          <w:tab w:leader="none" w:pos="580" w:val="left"/>
        </w:tabs>
        <w:numPr>
          <w:ilvl w:val="0"/>
          <w:numId w:val="224"/>
        </w:numPr>
        <w:rPr>
          <w:rFonts w:ascii="Calibri" w:cs="Calibri" w:eastAsia="Calibri" w:hAnsi="Calibri"/>
          <w:sz w:val="18"/>
          <w:szCs w:val="18"/>
          <w:color w:val="auto"/>
        </w:rPr>
      </w:pPr>
      <w:r>
        <w:rPr>
          <w:rFonts w:ascii="Calibri" w:cs="Calibri" w:eastAsia="Calibri" w:hAnsi="Calibri"/>
          <w:sz w:val="18"/>
          <w:szCs w:val="18"/>
          <w:color w:val="auto"/>
        </w:rPr>
        <w:t>the amount of the Loan and the Drawdown Date;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4"/>
        </w:numPr>
        <w:rPr>
          <w:rFonts w:ascii="Calibri" w:cs="Calibri" w:eastAsia="Calibri" w:hAnsi="Calibri"/>
          <w:sz w:val="18"/>
          <w:szCs w:val="18"/>
          <w:color w:val="auto"/>
        </w:rPr>
      </w:pPr>
      <w:r>
        <w:rPr>
          <w:rFonts w:ascii="Calibri" w:cs="Calibri" w:eastAsia="Calibri" w:hAnsi="Calibri"/>
          <w:sz w:val="18"/>
          <w:szCs w:val="18"/>
          <w:color w:val="auto"/>
        </w:rPr>
        <w:t>the amount of that Lender's partcipaton in the Loan;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4"/>
        </w:numPr>
        <w:rPr>
          <w:rFonts w:ascii="Calibri" w:cs="Calibri" w:eastAsia="Calibri" w:hAnsi="Calibri"/>
          <w:sz w:val="18"/>
          <w:szCs w:val="18"/>
          <w:color w:val="auto"/>
        </w:rPr>
      </w:pPr>
      <w:r>
        <w:rPr>
          <w:rFonts w:ascii="Calibri" w:cs="Calibri" w:eastAsia="Calibri" w:hAnsi="Calibri"/>
          <w:sz w:val="18"/>
          <w:szCs w:val="18"/>
          <w:color w:val="auto"/>
        </w:rPr>
        <w:t>the duraton of the frst Interest Period.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4.4</w:t>
      </w:r>
      <w:r>
        <w:rPr>
          <w:sz w:val="20"/>
          <w:szCs w:val="20"/>
          <w:color w:val="auto"/>
        </w:rPr>
        <w:tab/>
      </w:r>
      <w:r>
        <w:rPr>
          <w:rFonts w:ascii="Calibri" w:cs="Calibri" w:eastAsia="Calibri" w:hAnsi="Calibri"/>
          <w:sz w:val="18"/>
          <w:szCs w:val="18"/>
          <w:b w:val="1"/>
          <w:bCs w:val="1"/>
          <w:color w:val="auto"/>
        </w:rPr>
        <w:t>Drawdown Notce irrevocable</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Drawdown Notce must be signed by a duly authorised signatory of the Borrower; and once served, the Drawdown Notce cannot be revoked without the prior consent of the Agent, actng on the authority of the Majority Lenders.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4.5</w:t>
      </w:r>
      <w:r>
        <w:rPr>
          <w:sz w:val="20"/>
          <w:szCs w:val="20"/>
          <w:color w:val="auto"/>
        </w:rPr>
        <w:tab/>
      </w:r>
      <w:r>
        <w:rPr>
          <w:rFonts w:ascii="Calibri" w:cs="Calibri" w:eastAsia="Calibri" w:hAnsi="Calibri"/>
          <w:sz w:val="18"/>
          <w:szCs w:val="18"/>
          <w:b w:val="1"/>
          <w:bCs w:val="1"/>
          <w:color w:val="auto"/>
        </w:rPr>
        <w:t>Lenders to make available Contributons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provisions of this Agreement, each Lender shall, on and with value on the Drawdown Date, make available to the Agent for the account of the Borrower the amount due from that Lender on the Drawdown Date under Clause 2.2.</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4.6</w:t>
      </w:r>
      <w:r>
        <w:rPr>
          <w:sz w:val="20"/>
          <w:szCs w:val="20"/>
          <w:color w:val="auto"/>
        </w:rPr>
        <w:tab/>
      </w:r>
      <w:r>
        <w:rPr>
          <w:rFonts w:ascii="Calibri" w:cs="Calibri" w:eastAsia="Calibri" w:hAnsi="Calibri"/>
          <w:sz w:val="18"/>
          <w:szCs w:val="18"/>
          <w:b w:val="1"/>
          <w:bCs w:val="1"/>
          <w:color w:val="auto"/>
        </w:rPr>
        <w:t>Disbursement of the Loan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provisions of this Agreement, the Agent shall on the Drawdown Date pay to the Borrower the amounts which the Agent receives from the Lenders under Clause 4.5 and the payment to the Borrower shall be made:</w:t>
      </w:r>
    </w:p>
    <w:p>
      <w:pPr>
        <w:spacing w:after="0" w:line="182" w:lineRule="exact"/>
        <w:rPr>
          <w:sz w:val="20"/>
          <w:szCs w:val="20"/>
          <w:color w:val="auto"/>
        </w:rPr>
      </w:pPr>
    </w:p>
    <w:p>
      <w:pPr>
        <w:ind w:left="580" w:hanging="580"/>
        <w:spacing w:after="0"/>
        <w:tabs>
          <w:tab w:leader="none" w:pos="580" w:val="left"/>
        </w:tabs>
        <w:numPr>
          <w:ilvl w:val="0"/>
          <w:numId w:val="225"/>
        </w:numPr>
        <w:rPr>
          <w:rFonts w:ascii="Calibri" w:cs="Calibri" w:eastAsia="Calibri" w:hAnsi="Calibri"/>
          <w:sz w:val="18"/>
          <w:szCs w:val="18"/>
          <w:color w:val="auto"/>
        </w:rPr>
      </w:pPr>
      <w:r>
        <w:rPr>
          <w:rFonts w:ascii="Calibri" w:cs="Calibri" w:eastAsia="Calibri" w:hAnsi="Calibri"/>
          <w:sz w:val="18"/>
          <w:szCs w:val="18"/>
          <w:color w:val="auto"/>
        </w:rPr>
        <w:t>to the account which the Borrower specifes in the Drawdown Notce;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5"/>
        </w:numPr>
        <w:rPr>
          <w:rFonts w:ascii="Calibri" w:cs="Calibri" w:eastAsia="Calibri" w:hAnsi="Calibri"/>
          <w:sz w:val="18"/>
          <w:szCs w:val="18"/>
          <w:color w:val="auto"/>
        </w:rPr>
      </w:pPr>
      <w:r>
        <w:rPr>
          <w:rFonts w:ascii="Calibri" w:cs="Calibri" w:eastAsia="Calibri" w:hAnsi="Calibri"/>
          <w:sz w:val="18"/>
          <w:szCs w:val="18"/>
          <w:color w:val="auto"/>
        </w:rPr>
        <w:t>in like funds as the Agent received the payments from the Lenders.</w:t>
      </w:r>
    </w:p>
    <w:p>
      <w:pPr>
        <w:spacing w:after="0" w:line="183"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The payment by the Agent under this Clause 4.6 shall consttute the making of the Loan and the Borrower shall at that tme become indebted, as principal and direct obligor, to each Lender in an amount equal to that Lender's partcipaton in the Loan.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4.7</w:t>
      </w:r>
      <w:r>
        <w:rPr>
          <w:sz w:val="20"/>
          <w:szCs w:val="20"/>
          <w:color w:val="auto"/>
        </w:rPr>
        <w:tab/>
      </w:r>
      <w:r>
        <w:rPr>
          <w:rFonts w:ascii="Calibri" w:cs="Calibri" w:eastAsia="Calibri" w:hAnsi="Calibri"/>
          <w:sz w:val="18"/>
          <w:szCs w:val="18"/>
          <w:b w:val="1"/>
          <w:bCs w:val="1"/>
          <w:color w:val="auto"/>
        </w:rPr>
        <w:t>Prepositoning of funds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Agent (at its sole discreton) may, at the Borrower's request, agree to prepositon and, as the case may be, remit on the relevant</w:t>
      </w:r>
    </w:p>
    <w:p>
      <w:pPr>
        <w:ind w:left="600"/>
        <w:spacing w:after="0" w:line="218" w:lineRule="auto"/>
        <w:rPr>
          <w:sz w:val="20"/>
          <w:szCs w:val="20"/>
          <w:color w:val="auto"/>
        </w:rPr>
      </w:pPr>
      <w:r>
        <w:rPr>
          <w:rFonts w:ascii="Calibri" w:cs="Calibri" w:eastAsia="Calibri" w:hAnsi="Calibri"/>
          <w:sz w:val="18"/>
          <w:szCs w:val="18"/>
          <w:color w:val="auto"/>
        </w:rPr>
        <w:t>Drawdown Date the amounts which the Agent receives from the Lenders in respect of the Loan by making payment of such amounts:</w:t>
      </w:r>
    </w:p>
    <w:p>
      <w:pPr>
        <w:spacing w:after="0" w:line="184" w:lineRule="exact"/>
        <w:rPr>
          <w:sz w:val="20"/>
          <w:szCs w:val="20"/>
          <w:color w:val="auto"/>
        </w:rPr>
      </w:pPr>
    </w:p>
    <w:p>
      <w:pPr>
        <w:ind w:left="580" w:hanging="580"/>
        <w:spacing w:after="0" w:line="228" w:lineRule="auto"/>
        <w:tabs>
          <w:tab w:leader="none" w:pos="580" w:val="left"/>
        </w:tabs>
        <w:numPr>
          <w:ilvl w:val="0"/>
          <w:numId w:val="226"/>
        </w:numPr>
        <w:rPr>
          <w:rFonts w:ascii="Calibri" w:cs="Calibri" w:eastAsia="Calibri" w:hAnsi="Calibri"/>
          <w:sz w:val="18"/>
          <w:szCs w:val="18"/>
          <w:color w:val="auto"/>
        </w:rPr>
      </w:pPr>
      <w:r>
        <w:rPr>
          <w:rFonts w:ascii="Calibri" w:cs="Calibri" w:eastAsia="Calibri" w:hAnsi="Calibri"/>
          <w:sz w:val="18"/>
          <w:szCs w:val="18"/>
          <w:color w:val="auto"/>
        </w:rPr>
        <w:t>to such account of the Builder and with such bank (the "</w:t>
      </w:r>
      <w:r>
        <w:rPr>
          <w:rFonts w:ascii="Calibri" w:cs="Calibri" w:eastAsia="Calibri" w:hAnsi="Calibri"/>
          <w:sz w:val="18"/>
          <w:szCs w:val="18"/>
          <w:b w:val="1"/>
          <w:bCs w:val="1"/>
          <w:color w:val="auto"/>
        </w:rPr>
        <w:t>Prepositoning Bank</w:t>
      </w:r>
      <w:r>
        <w:rPr>
          <w:rFonts w:ascii="Calibri" w:cs="Calibri" w:eastAsia="Calibri" w:hAnsi="Calibri"/>
          <w:sz w:val="18"/>
          <w:szCs w:val="18"/>
          <w:color w:val="auto"/>
        </w:rPr>
        <w:t>") and, as the case may be, to the Retenton Account, as the Borrower may have agreed with the Agent in advance of that Drawdown Date and as specifed in the relevant Drawdown Notce;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6"/>
        </w:numPr>
        <w:rPr>
          <w:rFonts w:ascii="Calibri" w:cs="Calibri" w:eastAsia="Calibri" w:hAnsi="Calibri"/>
          <w:sz w:val="18"/>
          <w:szCs w:val="18"/>
          <w:color w:val="auto"/>
        </w:rPr>
      </w:pPr>
      <w:r>
        <w:rPr>
          <w:rFonts w:ascii="Calibri" w:cs="Calibri" w:eastAsia="Calibri" w:hAnsi="Calibri"/>
          <w:sz w:val="18"/>
          <w:szCs w:val="18"/>
          <w:color w:val="auto"/>
        </w:rPr>
        <w:t>in like funds as the Agent received the payments from the Lenders;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26"/>
        </w:numPr>
        <w:rPr>
          <w:rFonts w:ascii="Calibri" w:cs="Calibri" w:eastAsia="Calibri" w:hAnsi="Calibri"/>
          <w:sz w:val="18"/>
          <w:szCs w:val="18"/>
          <w:color w:val="auto"/>
        </w:rPr>
      </w:pPr>
      <w:r>
        <w:rPr>
          <w:rFonts w:ascii="Calibri" w:cs="Calibri" w:eastAsia="Calibri" w:hAnsi="Calibri"/>
          <w:sz w:val="18"/>
          <w:szCs w:val="18"/>
          <w:color w:val="auto"/>
        </w:rPr>
        <w:t>on terms that:</w:t>
      </w:r>
    </w:p>
    <w:p>
      <w:pPr>
        <w:spacing w:after="0" w:line="181" w:lineRule="exact"/>
        <w:rPr>
          <w:rFonts w:ascii="Calibri" w:cs="Calibri" w:eastAsia="Calibri" w:hAnsi="Calibri"/>
          <w:sz w:val="18"/>
          <w:szCs w:val="18"/>
          <w:color w:val="auto"/>
        </w:rPr>
      </w:pPr>
    </w:p>
    <w:p>
      <w:pPr>
        <w:ind w:left="580"/>
        <w:spacing w:after="0"/>
        <w:rPr>
          <w:rFonts w:ascii="Calibri" w:cs="Calibri" w:eastAsia="Calibri" w:hAnsi="Calibri"/>
          <w:sz w:val="18"/>
          <w:szCs w:val="18"/>
          <w:color w:val="auto"/>
        </w:rPr>
      </w:pPr>
      <w:r>
        <w:rPr>
          <w:rFonts w:ascii="Calibri" w:cs="Calibri" w:eastAsia="Calibri" w:hAnsi="Calibri"/>
          <w:sz w:val="18"/>
          <w:szCs w:val="18"/>
          <w:color w:val="auto"/>
        </w:rPr>
        <w:t>(i)</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1" w:name="page172"/>
    <w:bookmarkEnd w:id="171"/>
    <w:p>
      <w:pPr>
        <w:jc w:val="both"/>
        <w:ind w:left="1760" w:hanging="582"/>
        <w:spacing w:after="0" w:line="223" w:lineRule="auto"/>
        <w:tabs>
          <w:tab w:leader="none" w:pos="1760" w:val="left"/>
        </w:tabs>
        <w:numPr>
          <w:ilvl w:val="1"/>
          <w:numId w:val="227"/>
        </w:numPr>
        <w:rPr>
          <w:rFonts w:ascii="Calibri" w:cs="Calibri" w:eastAsia="Calibri" w:hAnsi="Calibri"/>
          <w:sz w:val="18"/>
          <w:szCs w:val="18"/>
          <w:color w:val="auto"/>
        </w:rPr>
      </w:pPr>
      <w:r>
        <w:rPr>
          <w:rFonts w:ascii="Calibri" w:cs="Calibri" w:eastAsia="Calibri" w:hAnsi="Calibri"/>
          <w:sz w:val="18"/>
          <w:szCs w:val="18"/>
          <w:color w:val="auto"/>
        </w:rPr>
        <w:t>in relaton to any remitance to the Prepositoning Bank, such amounts shall be held to the order of the Agent untl the conditons described in the remitance message (the "</w:t>
      </w:r>
      <w:r>
        <w:rPr>
          <w:rFonts w:ascii="Calibri" w:cs="Calibri" w:eastAsia="Calibri" w:hAnsi="Calibri"/>
          <w:sz w:val="18"/>
          <w:szCs w:val="18"/>
          <w:b w:val="1"/>
          <w:bCs w:val="1"/>
          <w:color w:val="auto"/>
        </w:rPr>
        <w:t>Remitance Message</w:t>
      </w:r>
      <w:r>
        <w:rPr>
          <w:rFonts w:ascii="Calibri" w:cs="Calibri" w:eastAsia="Calibri" w:hAnsi="Calibri"/>
          <w:sz w:val="18"/>
          <w:szCs w:val="18"/>
          <w:color w:val="auto"/>
        </w:rPr>
        <w:t>") with which the conditonal payment is efected for transfer of funds to the Builder are fulflled or, if earlier, such tme as the Agent confrms in writng to the Prepositoning Bank that the Loan may be released to the Builder in accordance with Clause 4.8;</w:t>
      </w:r>
    </w:p>
    <w:p>
      <w:pPr>
        <w:spacing w:after="0" w:line="185" w:lineRule="exact"/>
        <w:rPr>
          <w:rFonts w:ascii="Calibri" w:cs="Calibri" w:eastAsia="Calibri" w:hAnsi="Calibri"/>
          <w:sz w:val="18"/>
          <w:szCs w:val="18"/>
          <w:color w:val="auto"/>
        </w:rPr>
      </w:pPr>
    </w:p>
    <w:p>
      <w:pPr>
        <w:jc w:val="both"/>
        <w:ind w:left="1760" w:hanging="582"/>
        <w:spacing w:after="0" w:line="223" w:lineRule="auto"/>
        <w:tabs>
          <w:tab w:leader="none" w:pos="1760" w:val="left"/>
        </w:tabs>
        <w:numPr>
          <w:ilvl w:val="1"/>
          <w:numId w:val="227"/>
        </w:numPr>
        <w:rPr>
          <w:rFonts w:ascii="Calibri" w:cs="Calibri" w:eastAsia="Calibri" w:hAnsi="Calibri"/>
          <w:sz w:val="18"/>
          <w:szCs w:val="18"/>
          <w:color w:val="auto"/>
        </w:rPr>
      </w:pPr>
      <w:r>
        <w:rPr>
          <w:rFonts w:ascii="Calibri" w:cs="Calibri" w:eastAsia="Calibri" w:hAnsi="Calibri"/>
          <w:sz w:val="18"/>
          <w:szCs w:val="18"/>
          <w:color w:val="auto"/>
        </w:rPr>
        <w:t>in relaton to any remitance to the Retenton Account, such amounts shall be held therein untl the conditons described in the Drawdown Notce are fulflled at which tme such amounts shall be released to the Borrower pursuant to the instructons included in the Drawdown Notce. In the event that such conditons are not fulflled on the Delivery Date the Agent shall debit the Retenton Account and apply such amounts towards repayment of the Loan;</w:t>
      </w:r>
    </w:p>
    <w:p>
      <w:pPr>
        <w:spacing w:after="0" w:line="185" w:lineRule="exact"/>
        <w:rPr>
          <w:rFonts w:ascii="Calibri" w:cs="Calibri" w:eastAsia="Calibri" w:hAnsi="Calibri"/>
          <w:sz w:val="18"/>
          <w:szCs w:val="18"/>
          <w:color w:val="auto"/>
        </w:rPr>
      </w:pPr>
    </w:p>
    <w:p>
      <w:pPr>
        <w:jc w:val="both"/>
        <w:ind w:left="1180" w:hanging="591"/>
        <w:spacing w:after="0" w:line="228" w:lineRule="auto"/>
        <w:tabs>
          <w:tab w:leader="none" w:pos="1180" w:val="left"/>
        </w:tabs>
        <w:numPr>
          <w:ilvl w:val="0"/>
          <w:numId w:val="228"/>
        </w:numPr>
        <w:rPr>
          <w:rFonts w:ascii="Calibri" w:cs="Calibri" w:eastAsia="Calibri" w:hAnsi="Calibri"/>
          <w:sz w:val="18"/>
          <w:szCs w:val="18"/>
          <w:color w:val="auto"/>
        </w:rPr>
      </w:pPr>
      <w:r>
        <w:rPr>
          <w:rFonts w:ascii="Calibri" w:cs="Calibri" w:eastAsia="Calibri" w:hAnsi="Calibri"/>
          <w:sz w:val="18"/>
          <w:szCs w:val="18"/>
          <w:color w:val="auto"/>
        </w:rPr>
        <w:t>such prepositoning and, as the case may be, remitance shall consttute the making of the Loan and the Borrower shall at that tme become indebted, as principal and direct obligors, to each Lender in an amount equal to that Lender's partcipaton in the Loan; and</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0"/>
          <w:numId w:val="228"/>
        </w:numPr>
        <w:rPr>
          <w:rFonts w:ascii="Calibri" w:cs="Calibri" w:eastAsia="Calibri" w:hAnsi="Calibri"/>
          <w:sz w:val="18"/>
          <w:szCs w:val="18"/>
          <w:color w:val="auto"/>
        </w:rPr>
      </w:pPr>
      <w:r>
        <w:rPr>
          <w:rFonts w:ascii="Calibri" w:cs="Calibri" w:eastAsia="Calibri" w:hAnsi="Calibri"/>
          <w:sz w:val="18"/>
          <w:szCs w:val="18"/>
          <w:color w:val="auto"/>
        </w:rPr>
        <w:t>the date on which the Loan (or any part of the Loan) is prepositoned and, as the case may be, remited shall consttute its Drawdown Date.</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4.8</w:t>
      </w:r>
      <w:r>
        <w:rPr>
          <w:sz w:val="20"/>
          <w:szCs w:val="20"/>
          <w:color w:val="auto"/>
        </w:rPr>
        <w:tab/>
      </w:r>
      <w:r>
        <w:rPr>
          <w:rFonts w:ascii="Calibri" w:cs="Calibri" w:eastAsia="Calibri" w:hAnsi="Calibri"/>
          <w:sz w:val="18"/>
          <w:szCs w:val="18"/>
          <w:b w:val="1"/>
          <w:bCs w:val="1"/>
          <w:color w:val="auto"/>
        </w:rPr>
        <w:t>Disbursement of Loan</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If the Agent has agreed to the Borrower's request under Clause 4.7, the Agent shall, on the Ship's delivery, instruct the Prepositoning Bank to release the amount of the Loan to the Builder subject to the Agent having received all the documents described in Part B of Schedule 3 in form and substance satsfactory to the Agent and its lawyers and further subject to the other provisions of Clause 9.1 unless the funds representng the Loan will be released by the Prepositoning Bank pursuant to the Remitance Message.</w:t>
      </w:r>
    </w:p>
    <w:p>
      <w:pPr>
        <w:spacing w:after="0" w:line="183" w:lineRule="exact"/>
        <w:rPr>
          <w:sz w:val="20"/>
          <w:szCs w:val="20"/>
          <w:color w:val="auto"/>
        </w:rPr>
      </w:pPr>
    </w:p>
    <w:p>
      <w:pPr>
        <w:ind w:left="580" w:hanging="580"/>
        <w:spacing w:after="0"/>
        <w:tabs>
          <w:tab w:leader="none" w:pos="580" w:val="left"/>
        </w:tabs>
        <w:numPr>
          <w:ilvl w:val="0"/>
          <w:numId w:val="22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INTEREST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5.1</w:t>
      </w:r>
      <w:r>
        <w:rPr>
          <w:sz w:val="20"/>
          <w:szCs w:val="20"/>
          <w:color w:val="auto"/>
        </w:rPr>
        <w:tab/>
      </w:r>
      <w:r>
        <w:rPr>
          <w:rFonts w:ascii="Calibri" w:cs="Calibri" w:eastAsia="Calibri" w:hAnsi="Calibri"/>
          <w:sz w:val="18"/>
          <w:szCs w:val="18"/>
          <w:b w:val="1"/>
          <w:bCs w:val="1"/>
          <w:color w:val="auto"/>
        </w:rPr>
        <w:t>Payment of normal interest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Subject to the provisions of this Agreement, interest on the Loan in respect of each Interest Period shall be paid by the Borrower on the last day of that Interest Period.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5.2</w:t>
      </w:r>
      <w:r>
        <w:rPr>
          <w:sz w:val="20"/>
          <w:szCs w:val="20"/>
          <w:color w:val="auto"/>
        </w:rPr>
        <w:tab/>
      </w:r>
      <w:r>
        <w:rPr>
          <w:rFonts w:ascii="Calibri" w:cs="Calibri" w:eastAsia="Calibri" w:hAnsi="Calibri"/>
          <w:sz w:val="18"/>
          <w:szCs w:val="18"/>
          <w:b w:val="1"/>
          <w:bCs w:val="1"/>
          <w:color w:val="auto"/>
        </w:rPr>
        <w:t>Normal rate of interest</w:t>
      </w:r>
    </w:p>
    <w:p>
      <w:pPr>
        <w:spacing w:after="0" w:line="181" w:lineRule="exact"/>
        <w:rPr>
          <w:sz w:val="20"/>
          <w:szCs w:val="20"/>
          <w:color w:val="auto"/>
        </w:rPr>
      </w:pPr>
    </w:p>
    <w:p>
      <w:pPr>
        <w:ind w:left="580" w:hanging="580"/>
        <w:spacing w:after="0"/>
        <w:tabs>
          <w:tab w:leader="none" w:pos="580" w:val="left"/>
        </w:tabs>
        <w:numPr>
          <w:ilvl w:val="0"/>
          <w:numId w:val="230"/>
        </w:numPr>
        <w:rPr>
          <w:rFonts w:ascii="Calibri" w:cs="Calibri" w:eastAsia="Calibri" w:hAnsi="Calibri"/>
          <w:sz w:val="18"/>
          <w:szCs w:val="18"/>
          <w:color w:val="auto"/>
        </w:rPr>
      </w:pPr>
      <w:r>
        <w:rPr>
          <w:rFonts w:ascii="Calibri" w:cs="Calibri" w:eastAsia="Calibri" w:hAnsi="Calibri"/>
          <w:sz w:val="18"/>
          <w:szCs w:val="18"/>
          <w:color w:val="auto"/>
        </w:rPr>
        <w:t>The rate of interest on the Loan for any day during an Interest Period is the percentage rate per annum which is the aggregate of:</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30"/>
        </w:numPr>
        <w:rPr>
          <w:rFonts w:ascii="Calibri" w:cs="Calibri" w:eastAsia="Calibri" w:hAnsi="Calibri"/>
          <w:sz w:val="18"/>
          <w:szCs w:val="18"/>
          <w:color w:val="auto"/>
        </w:rPr>
      </w:pPr>
      <w:r>
        <w:rPr>
          <w:rFonts w:ascii="Calibri" w:cs="Calibri" w:eastAsia="Calibri" w:hAnsi="Calibri"/>
          <w:sz w:val="18"/>
          <w:szCs w:val="18"/>
          <w:color w:val="auto"/>
        </w:rPr>
        <w:t>the Margin;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30"/>
        </w:numPr>
        <w:rPr>
          <w:rFonts w:ascii="Calibri" w:cs="Calibri" w:eastAsia="Calibri" w:hAnsi="Calibri"/>
          <w:sz w:val="18"/>
          <w:szCs w:val="18"/>
          <w:color w:val="auto"/>
        </w:rPr>
      </w:pPr>
      <w:r>
        <w:rPr>
          <w:rFonts w:ascii="Calibri" w:cs="Calibri" w:eastAsia="Calibri" w:hAnsi="Calibri"/>
          <w:sz w:val="18"/>
          <w:szCs w:val="18"/>
          <w:color w:val="auto"/>
        </w:rPr>
        <w:t>the Compounded Reference Rate for that day.</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0"/>
        </w:numPr>
        <w:rPr>
          <w:rFonts w:ascii="Calibri" w:cs="Calibri" w:eastAsia="Calibri" w:hAnsi="Calibri"/>
          <w:sz w:val="18"/>
          <w:szCs w:val="18"/>
          <w:color w:val="auto"/>
        </w:rPr>
      </w:pPr>
      <w:r>
        <w:rPr>
          <w:rFonts w:ascii="Calibri" w:cs="Calibri" w:eastAsia="Calibri" w:hAnsi="Calibri"/>
          <w:sz w:val="18"/>
          <w:szCs w:val="18"/>
          <w:color w:val="auto"/>
        </w:rPr>
        <w:t>If any day during an Interest Period for the Loan is not a RFR Banking Day, the rate of interest on the Loan for that day will be the rate applicable to the immediately preceding RFR Banking Day.</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72" w:name="page173"/>
    <w:bookmarkEnd w:id="172"/>
    <w:p>
      <w:pPr>
        <w:spacing w:after="0"/>
        <w:tabs>
          <w:tab w:leader="none" w:pos="560" w:val="left"/>
        </w:tabs>
        <w:rPr>
          <w:sz w:val="20"/>
          <w:szCs w:val="20"/>
          <w:color w:val="auto"/>
        </w:rPr>
      </w:pPr>
      <w:r>
        <w:rPr>
          <w:rFonts w:ascii="Calibri" w:cs="Calibri" w:eastAsia="Calibri" w:hAnsi="Calibri"/>
          <w:sz w:val="18"/>
          <w:szCs w:val="18"/>
          <w:b w:val="1"/>
          <w:bCs w:val="1"/>
          <w:color w:val="auto"/>
        </w:rPr>
        <w:t>5.3</w:t>
      </w:r>
      <w:r>
        <w:rPr>
          <w:sz w:val="20"/>
          <w:szCs w:val="20"/>
          <w:color w:val="auto"/>
        </w:rPr>
        <w:tab/>
      </w:r>
      <w:r>
        <w:rPr>
          <w:rFonts w:ascii="Calibri" w:cs="Calibri" w:eastAsia="Calibri" w:hAnsi="Calibri"/>
          <w:sz w:val="18"/>
          <w:szCs w:val="18"/>
          <w:b w:val="1"/>
          <w:bCs w:val="1"/>
          <w:color w:val="auto"/>
        </w:rPr>
        <w:t>Payment of accrued interest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In the case of an Interest Period of longer than three months, accrued interest shall be paid every three months during that Interest Period and on the last day of that Interest Period.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5.4</w:t>
      </w:r>
      <w:r>
        <w:rPr>
          <w:sz w:val="20"/>
          <w:szCs w:val="20"/>
          <w:color w:val="auto"/>
        </w:rPr>
        <w:tab/>
      </w:r>
      <w:r>
        <w:rPr>
          <w:rFonts w:ascii="Calibri" w:cs="Calibri" w:eastAsia="Calibri" w:hAnsi="Calibri"/>
          <w:sz w:val="18"/>
          <w:szCs w:val="18"/>
          <w:b w:val="1"/>
          <w:bCs w:val="1"/>
          <w:color w:val="auto"/>
        </w:rPr>
        <w:t>Notfcatons</w:t>
      </w:r>
    </w:p>
    <w:p>
      <w:pPr>
        <w:spacing w:after="0" w:line="181" w:lineRule="exact"/>
        <w:rPr>
          <w:sz w:val="20"/>
          <w:szCs w:val="20"/>
          <w:color w:val="auto"/>
        </w:rPr>
      </w:pPr>
    </w:p>
    <w:p>
      <w:pPr>
        <w:ind w:left="580" w:hanging="580"/>
        <w:spacing w:after="0"/>
        <w:tabs>
          <w:tab w:leader="none" w:pos="580" w:val="left"/>
        </w:tabs>
        <w:numPr>
          <w:ilvl w:val="0"/>
          <w:numId w:val="231"/>
        </w:numPr>
        <w:rPr>
          <w:rFonts w:ascii="Calibri" w:cs="Calibri" w:eastAsia="Calibri" w:hAnsi="Calibri"/>
          <w:sz w:val="18"/>
          <w:szCs w:val="18"/>
          <w:color w:val="auto"/>
        </w:rPr>
      </w:pPr>
      <w:r>
        <w:rPr>
          <w:rFonts w:ascii="Calibri" w:cs="Calibri" w:eastAsia="Calibri" w:hAnsi="Calibri"/>
          <w:sz w:val="18"/>
          <w:szCs w:val="18"/>
          <w:color w:val="auto"/>
        </w:rPr>
        <w:t>The Agent shall promptly upon an Interest Payment being determinable notfy: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31"/>
        </w:numPr>
        <w:rPr>
          <w:rFonts w:ascii="Calibri" w:cs="Calibri" w:eastAsia="Calibri" w:hAnsi="Calibri"/>
          <w:sz w:val="18"/>
          <w:szCs w:val="18"/>
          <w:color w:val="auto"/>
        </w:rPr>
      </w:pPr>
      <w:r>
        <w:rPr>
          <w:rFonts w:ascii="Calibri" w:cs="Calibri" w:eastAsia="Calibri" w:hAnsi="Calibri"/>
          <w:sz w:val="18"/>
          <w:szCs w:val="18"/>
          <w:color w:val="auto"/>
        </w:rPr>
        <w:t>the Borrower of that Interest Payment;</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31"/>
        </w:numPr>
        <w:rPr>
          <w:rFonts w:ascii="Calibri" w:cs="Calibri" w:eastAsia="Calibri" w:hAnsi="Calibri"/>
          <w:sz w:val="18"/>
          <w:szCs w:val="18"/>
          <w:color w:val="auto"/>
        </w:rPr>
      </w:pPr>
      <w:r>
        <w:rPr>
          <w:rFonts w:ascii="Calibri" w:cs="Calibri" w:eastAsia="Calibri" w:hAnsi="Calibri"/>
          <w:sz w:val="18"/>
          <w:szCs w:val="18"/>
          <w:color w:val="auto"/>
        </w:rPr>
        <w:t>each Lender of the proporton of that Interest Payment which relates to that Lender's partcipaton in the Loan or the relevant part of the Loan;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31"/>
        </w:numPr>
        <w:rPr>
          <w:rFonts w:ascii="Calibri" w:cs="Calibri" w:eastAsia="Calibri" w:hAnsi="Calibri"/>
          <w:sz w:val="18"/>
          <w:szCs w:val="18"/>
          <w:color w:val="auto"/>
        </w:rPr>
      </w:pPr>
      <w:r>
        <w:rPr>
          <w:rFonts w:ascii="Calibri" w:cs="Calibri" w:eastAsia="Calibri" w:hAnsi="Calibri"/>
          <w:sz w:val="18"/>
          <w:szCs w:val="18"/>
          <w:color w:val="auto"/>
        </w:rPr>
        <w:t>each Lender and the Borrower of, to the extent it is then determinable, the Market Disrupton Rate (if any) relatng to the Loan or the relevant part of the Loan.</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This paragraph (a) shall not apply to any Interest Payment determined pursuant to Clause 5.7.</w:t>
      </w:r>
    </w:p>
    <w:p>
      <w:pPr>
        <w:spacing w:after="0" w:line="183" w:lineRule="exact"/>
        <w:rPr>
          <w:sz w:val="20"/>
          <w:szCs w:val="20"/>
          <w:color w:val="auto"/>
        </w:rPr>
      </w:pPr>
    </w:p>
    <w:p>
      <w:pPr>
        <w:ind w:left="580" w:hanging="580"/>
        <w:spacing w:after="0" w:line="228" w:lineRule="auto"/>
        <w:tabs>
          <w:tab w:leader="none" w:pos="580" w:val="left"/>
        </w:tabs>
        <w:numPr>
          <w:ilvl w:val="0"/>
          <w:numId w:val="232"/>
        </w:numPr>
        <w:rPr>
          <w:rFonts w:ascii="Calibri" w:cs="Calibri" w:eastAsia="Calibri" w:hAnsi="Calibri"/>
          <w:sz w:val="18"/>
          <w:szCs w:val="18"/>
          <w:color w:val="auto"/>
        </w:rPr>
      </w:pPr>
      <w:r>
        <w:rPr>
          <w:rFonts w:ascii="Calibri" w:cs="Calibri" w:eastAsia="Calibri" w:hAnsi="Calibri"/>
          <w:sz w:val="18"/>
          <w:szCs w:val="18"/>
          <w:color w:val="auto"/>
        </w:rPr>
        <w:t>The Agent shall promptly notfy the Borrower of each rate of interest notfed pursuant to sub-paragraph (ii) of paragraph (a) of Clause 5.7 relatng to the Loan or the relevant part of the Loan.</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2"/>
        </w:numPr>
        <w:rPr>
          <w:rFonts w:ascii="Calibri" w:cs="Calibri" w:eastAsia="Calibri" w:hAnsi="Calibri"/>
          <w:sz w:val="18"/>
          <w:szCs w:val="18"/>
          <w:color w:val="auto"/>
        </w:rPr>
      </w:pPr>
      <w:r>
        <w:rPr>
          <w:rFonts w:ascii="Calibri" w:cs="Calibri" w:eastAsia="Calibri" w:hAnsi="Calibri"/>
          <w:sz w:val="18"/>
          <w:szCs w:val="18"/>
          <w:color w:val="auto"/>
        </w:rPr>
        <w:t>The Agent shall promptly notfy each Lender and the Borrower of the determinaton of a rate of interest relatng to the Loan or the relevant part of the Loan to which Clause 5.7 applies.</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32"/>
        </w:numPr>
        <w:rPr>
          <w:rFonts w:ascii="Calibri" w:cs="Calibri" w:eastAsia="Calibri" w:hAnsi="Calibri"/>
          <w:sz w:val="18"/>
          <w:szCs w:val="18"/>
          <w:color w:val="auto"/>
        </w:rPr>
      </w:pPr>
      <w:r>
        <w:rPr>
          <w:rFonts w:ascii="Calibri" w:cs="Calibri" w:eastAsia="Calibri" w:hAnsi="Calibri"/>
          <w:sz w:val="18"/>
          <w:szCs w:val="18"/>
          <w:color w:val="auto"/>
        </w:rPr>
        <w:t>This Clause 5.4 shall not require the Agent to make any notfcaton to any Party on a day which is not a Business Day.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5.5</w:t>
      </w:r>
      <w:r>
        <w:rPr>
          <w:sz w:val="20"/>
          <w:szCs w:val="20"/>
          <w:color w:val="auto"/>
        </w:rPr>
        <w:tab/>
      </w:r>
      <w:r>
        <w:rPr>
          <w:rFonts w:ascii="Calibri" w:cs="Calibri" w:eastAsia="Calibri" w:hAnsi="Calibri"/>
          <w:sz w:val="18"/>
          <w:szCs w:val="18"/>
          <w:b w:val="1"/>
          <w:bCs w:val="1"/>
          <w:color w:val="auto"/>
        </w:rPr>
        <w:t>Interest calculaton if no RFR or Central Bank Rate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If:</w:t>
      </w:r>
    </w:p>
    <w:p>
      <w:pPr>
        <w:spacing w:after="0" w:line="183" w:lineRule="exact"/>
        <w:rPr>
          <w:sz w:val="20"/>
          <w:szCs w:val="20"/>
          <w:color w:val="auto"/>
        </w:rPr>
      </w:pPr>
    </w:p>
    <w:p>
      <w:pPr>
        <w:ind w:left="580" w:hanging="580"/>
        <w:spacing w:after="0" w:line="228" w:lineRule="auto"/>
        <w:tabs>
          <w:tab w:leader="none" w:pos="580" w:val="left"/>
        </w:tabs>
        <w:numPr>
          <w:ilvl w:val="0"/>
          <w:numId w:val="233"/>
        </w:numPr>
        <w:rPr>
          <w:rFonts w:ascii="Calibri" w:cs="Calibri" w:eastAsia="Calibri" w:hAnsi="Calibri"/>
          <w:sz w:val="18"/>
          <w:szCs w:val="18"/>
          <w:color w:val="auto"/>
        </w:rPr>
      </w:pPr>
      <w:r>
        <w:rPr>
          <w:rFonts w:ascii="Calibri" w:cs="Calibri" w:eastAsia="Calibri" w:hAnsi="Calibri"/>
          <w:sz w:val="18"/>
          <w:szCs w:val="18"/>
          <w:color w:val="auto"/>
        </w:rPr>
        <w:t>there is no RFR or Central Bank Rate for the purposes of calculatng the Daily Non-Cumulatve Compounded RFR Rate for an RFR Banking Day during an Interest Period for the Loan or any part of the Loan;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33"/>
        </w:numPr>
        <w:rPr>
          <w:rFonts w:ascii="Calibri" w:cs="Calibri" w:eastAsia="Calibri" w:hAnsi="Calibri"/>
          <w:sz w:val="18"/>
          <w:szCs w:val="18"/>
          <w:color w:val="auto"/>
        </w:rPr>
      </w:pPr>
      <w:r>
        <w:rPr>
          <w:rFonts w:ascii="Calibri" w:cs="Calibri" w:eastAsia="Calibri" w:hAnsi="Calibri"/>
          <w:sz w:val="18"/>
          <w:szCs w:val="18"/>
          <w:color w:val="auto"/>
        </w:rPr>
        <w:t>"Cost of funds will apply as a fallback" is specifed in the Reference Rate Terms,</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Clause 5.7 shall apply to the Loan or the relevant part of the Loan for that Interest Period.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5.6</w:t>
      </w:r>
      <w:r>
        <w:rPr>
          <w:sz w:val="20"/>
          <w:szCs w:val="20"/>
          <w:color w:val="auto"/>
        </w:rPr>
        <w:tab/>
      </w:r>
      <w:r>
        <w:rPr>
          <w:rFonts w:ascii="Calibri" w:cs="Calibri" w:eastAsia="Calibri" w:hAnsi="Calibri"/>
          <w:sz w:val="18"/>
          <w:szCs w:val="18"/>
          <w:b w:val="1"/>
          <w:bCs w:val="1"/>
          <w:color w:val="auto"/>
        </w:rPr>
        <w:t>Market disrupton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If:</w:t>
      </w:r>
    </w:p>
    <w:p>
      <w:pPr>
        <w:spacing w:after="0" w:line="181" w:lineRule="exact"/>
        <w:rPr>
          <w:sz w:val="20"/>
          <w:szCs w:val="20"/>
          <w:color w:val="auto"/>
        </w:rPr>
      </w:pPr>
    </w:p>
    <w:p>
      <w:pPr>
        <w:ind w:left="580" w:hanging="580"/>
        <w:spacing w:after="0"/>
        <w:tabs>
          <w:tab w:leader="none" w:pos="580" w:val="left"/>
        </w:tabs>
        <w:numPr>
          <w:ilvl w:val="0"/>
          <w:numId w:val="234"/>
        </w:numPr>
        <w:rPr>
          <w:rFonts w:ascii="Calibri" w:cs="Calibri" w:eastAsia="Calibri" w:hAnsi="Calibri"/>
          <w:sz w:val="18"/>
          <w:szCs w:val="18"/>
          <w:color w:val="auto"/>
        </w:rPr>
      </w:pPr>
      <w:r>
        <w:rPr>
          <w:rFonts w:ascii="Calibri" w:cs="Calibri" w:eastAsia="Calibri" w:hAnsi="Calibri"/>
          <w:sz w:val="18"/>
          <w:szCs w:val="18"/>
          <w:color w:val="auto"/>
        </w:rPr>
        <w:t>a Market Disrupton Rate is specifed in the Reference Rate Terms;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4"/>
        </w:numPr>
        <w:rPr>
          <w:rFonts w:ascii="Calibri" w:cs="Calibri" w:eastAsia="Calibri" w:hAnsi="Calibri"/>
          <w:sz w:val="18"/>
          <w:szCs w:val="18"/>
          <w:color w:val="auto"/>
        </w:rPr>
      </w:pPr>
      <w:r>
        <w:rPr>
          <w:rFonts w:ascii="Calibri" w:cs="Calibri" w:eastAsia="Calibri" w:hAnsi="Calibri"/>
          <w:sz w:val="18"/>
          <w:szCs w:val="18"/>
          <w:color w:val="auto"/>
        </w:rPr>
        <w:t>before the Reportng Time for the Loan, the Agent receives notfcatons from a Lender or Lenders (whose Contributons exceed 10 per cent. of the Loan) that its cost of funds relatng to its partcipaton in the Loan would be in excess of that Market Disrupton Rate,</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then Clause 5.7 shall apply to the Loan or the relevant part of the Loan for the relevant Interest Period.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3" w:name="page174"/>
    <w:bookmarkEnd w:id="173"/>
    <w:p>
      <w:pPr>
        <w:spacing w:after="0"/>
        <w:tabs>
          <w:tab w:leader="none" w:pos="560" w:val="left"/>
        </w:tabs>
        <w:rPr>
          <w:sz w:val="20"/>
          <w:szCs w:val="20"/>
          <w:color w:val="auto"/>
        </w:rPr>
      </w:pPr>
      <w:r>
        <w:rPr>
          <w:rFonts w:ascii="Calibri" w:cs="Calibri" w:eastAsia="Calibri" w:hAnsi="Calibri"/>
          <w:sz w:val="18"/>
          <w:szCs w:val="18"/>
          <w:b w:val="1"/>
          <w:bCs w:val="1"/>
          <w:color w:val="auto"/>
        </w:rPr>
        <w:t>5.7</w:t>
      </w:r>
      <w:r>
        <w:rPr>
          <w:sz w:val="20"/>
          <w:szCs w:val="20"/>
          <w:color w:val="auto"/>
        </w:rPr>
        <w:tab/>
      </w:r>
      <w:r>
        <w:rPr>
          <w:rFonts w:ascii="Calibri" w:cs="Calibri" w:eastAsia="Calibri" w:hAnsi="Calibri"/>
          <w:sz w:val="18"/>
          <w:szCs w:val="18"/>
          <w:b w:val="1"/>
          <w:bCs w:val="1"/>
          <w:color w:val="auto"/>
        </w:rPr>
        <w:t>Cost of funds</w:t>
      </w:r>
    </w:p>
    <w:p>
      <w:pPr>
        <w:spacing w:after="0" w:line="183" w:lineRule="exact"/>
        <w:rPr>
          <w:sz w:val="20"/>
          <w:szCs w:val="20"/>
          <w:color w:val="auto"/>
        </w:rPr>
      </w:pPr>
    </w:p>
    <w:p>
      <w:pPr>
        <w:jc w:val="both"/>
        <w:ind w:left="580" w:hanging="580"/>
        <w:spacing w:after="0" w:line="225" w:lineRule="auto"/>
        <w:tabs>
          <w:tab w:leader="none" w:pos="580" w:val="left"/>
        </w:tabs>
        <w:numPr>
          <w:ilvl w:val="0"/>
          <w:numId w:val="235"/>
        </w:numPr>
        <w:rPr>
          <w:rFonts w:ascii="Calibri" w:cs="Calibri" w:eastAsia="Calibri" w:hAnsi="Calibri"/>
          <w:sz w:val="18"/>
          <w:szCs w:val="18"/>
          <w:color w:val="auto"/>
        </w:rPr>
      </w:pPr>
      <w:r>
        <w:rPr>
          <w:rFonts w:ascii="Calibri" w:cs="Calibri" w:eastAsia="Calibri" w:hAnsi="Calibri"/>
          <w:sz w:val="18"/>
          <w:szCs w:val="18"/>
          <w:color w:val="auto"/>
        </w:rPr>
        <w:t>If this Clause 5.7 applies to the Loan or any part of the Loan for an Interest Period, Clause 5.2 shall not apply to the Loan or any part of the Loan for that Interest Period and the rate of interest on the Loan or the relevant part of the Loan for that Interest Period shall be the percentage rate per annum which is the sum of:</w:t>
      </w:r>
    </w:p>
    <w:p>
      <w:pPr>
        <w:spacing w:after="0" w:line="194" w:lineRule="exact"/>
        <w:rPr>
          <w:rFonts w:ascii="Calibri" w:cs="Calibri" w:eastAsia="Calibri" w:hAnsi="Calibri"/>
          <w:sz w:val="18"/>
          <w:szCs w:val="18"/>
          <w:color w:val="auto"/>
        </w:rPr>
      </w:pPr>
    </w:p>
    <w:p>
      <w:pPr>
        <w:ind w:left="1200" w:hanging="599"/>
        <w:spacing w:after="0"/>
        <w:tabs>
          <w:tab w:leader="none" w:pos="1200" w:val="left"/>
        </w:tabs>
        <w:numPr>
          <w:ilvl w:val="1"/>
          <w:numId w:val="235"/>
        </w:numPr>
        <w:rPr>
          <w:rFonts w:ascii="Calibri" w:cs="Calibri" w:eastAsia="Calibri" w:hAnsi="Calibri"/>
          <w:sz w:val="18"/>
          <w:szCs w:val="18"/>
          <w:color w:val="auto"/>
        </w:rPr>
      </w:pPr>
      <w:r>
        <w:rPr>
          <w:rFonts w:ascii="Calibri" w:cs="Calibri" w:eastAsia="Calibri" w:hAnsi="Calibri"/>
          <w:sz w:val="18"/>
          <w:szCs w:val="18"/>
          <w:color w:val="auto"/>
        </w:rPr>
        <w:t>the Margin; and</w:t>
      </w:r>
    </w:p>
    <w:p>
      <w:pPr>
        <w:spacing w:after="0" w:line="195" w:lineRule="exact"/>
        <w:rPr>
          <w:rFonts w:ascii="Calibri" w:cs="Calibri" w:eastAsia="Calibri" w:hAnsi="Calibri"/>
          <w:sz w:val="18"/>
          <w:szCs w:val="18"/>
          <w:color w:val="auto"/>
        </w:rPr>
      </w:pPr>
    </w:p>
    <w:p>
      <w:pPr>
        <w:jc w:val="both"/>
        <w:ind w:left="1200" w:hanging="599"/>
        <w:spacing w:after="0"/>
        <w:tabs>
          <w:tab w:leader="none" w:pos="1200" w:val="left"/>
        </w:tabs>
        <w:numPr>
          <w:ilvl w:val="1"/>
          <w:numId w:val="235"/>
        </w:numPr>
        <w:rPr>
          <w:rFonts w:ascii="Calibri" w:cs="Calibri" w:eastAsia="Calibri" w:hAnsi="Calibri"/>
          <w:sz w:val="18"/>
          <w:szCs w:val="18"/>
          <w:color w:val="auto"/>
        </w:rPr>
      </w:pPr>
      <w:r>
        <w:rPr>
          <w:rFonts w:ascii="Calibri" w:cs="Calibri" w:eastAsia="Calibri" w:hAnsi="Calibri"/>
          <w:sz w:val="18"/>
          <w:szCs w:val="18"/>
          <w:color w:val="auto"/>
        </w:rPr>
        <w:t>the rate notfed to the Agent by each Lender as soon as practcable and in any event by the Reportng Time for the Loan, to be that which expresses as a percentage rate per annum its cost of funds relatng to its partcipaton in the Loan or the relevant part of the Loan.</w:t>
      </w:r>
    </w:p>
    <w:p>
      <w:pPr>
        <w:spacing w:after="0" w:line="362"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35"/>
        </w:numPr>
        <w:rPr>
          <w:rFonts w:ascii="Calibri" w:cs="Calibri" w:eastAsia="Calibri" w:hAnsi="Calibri"/>
          <w:sz w:val="18"/>
          <w:szCs w:val="18"/>
          <w:color w:val="auto"/>
        </w:rPr>
      </w:pPr>
      <w:r>
        <w:rPr>
          <w:rFonts w:ascii="Calibri" w:cs="Calibri" w:eastAsia="Calibri" w:hAnsi="Calibri"/>
          <w:sz w:val="18"/>
          <w:szCs w:val="18"/>
          <w:color w:val="auto"/>
        </w:rPr>
        <w:t>If this Clause 5.7 applies and the Agent or the Borrower so require, the Agent and the Borrower shall enter into negotatons (for a period of not more than 30 days) with a view to agreeing a substtute basis for determining the rate of interest or (as the case may be) an alternatve basis for funding.</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5"/>
        </w:numPr>
        <w:rPr>
          <w:rFonts w:ascii="Calibri" w:cs="Calibri" w:eastAsia="Calibri" w:hAnsi="Calibri"/>
          <w:sz w:val="18"/>
          <w:szCs w:val="18"/>
          <w:color w:val="auto"/>
        </w:rPr>
      </w:pPr>
      <w:r>
        <w:rPr>
          <w:rFonts w:ascii="Calibri" w:cs="Calibri" w:eastAsia="Calibri" w:hAnsi="Calibri"/>
          <w:sz w:val="18"/>
          <w:szCs w:val="18"/>
          <w:color w:val="auto"/>
        </w:rPr>
        <w:t>Subject to Clause 27.4, any substtute or alternatve basis agreed pursuant to paragraph (b) above shall, with the prior consent of all the Lenders and the Borrower, be binding on all Partes.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5"/>
        </w:numPr>
        <w:rPr>
          <w:rFonts w:ascii="Calibri" w:cs="Calibri" w:eastAsia="Calibri" w:hAnsi="Calibri"/>
          <w:sz w:val="18"/>
          <w:szCs w:val="18"/>
          <w:color w:val="auto"/>
        </w:rPr>
      </w:pPr>
      <w:r>
        <w:rPr>
          <w:rFonts w:ascii="Calibri" w:cs="Calibri" w:eastAsia="Calibri" w:hAnsi="Calibri"/>
          <w:sz w:val="18"/>
          <w:szCs w:val="18"/>
          <w:color w:val="auto"/>
        </w:rPr>
        <w:t>If paragraph (e) below does not apply and any rate notfed to the Agent under sub-paragraph (ii) of paragraph (a) above is less than zero, the relevant rate shall be deemed to be zero.</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35"/>
        </w:numPr>
        <w:rPr>
          <w:rFonts w:ascii="Calibri" w:cs="Calibri" w:eastAsia="Calibri" w:hAnsi="Calibri"/>
          <w:sz w:val="18"/>
          <w:szCs w:val="18"/>
          <w:color w:val="auto"/>
        </w:rPr>
      </w:pPr>
      <w:r>
        <w:rPr>
          <w:rFonts w:ascii="Calibri" w:cs="Calibri" w:eastAsia="Calibri" w:hAnsi="Calibri"/>
          <w:sz w:val="18"/>
          <w:szCs w:val="18"/>
          <w:color w:val="auto"/>
        </w:rPr>
        <w:t>If this Clause 5.7 applies pursuant to Clause 5.6 and:</w:t>
      </w:r>
    </w:p>
    <w:p>
      <w:pPr>
        <w:spacing w:after="0" w:line="195" w:lineRule="exact"/>
        <w:rPr>
          <w:rFonts w:ascii="Calibri" w:cs="Calibri" w:eastAsia="Calibri" w:hAnsi="Calibri"/>
          <w:sz w:val="18"/>
          <w:szCs w:val="18"/>
          <w:color w:val="auto"/>
        </w:rPr>
      </w:pPr>
    </w:p>
    <w:p>
      <w:pPr>
        <w:ind w:left="1200" w:hanging="599"/>
        <w:spacing w:after="0" w:line="244" w:lineRule="auto"/>
        <w:tabs>
          <w:tab w:leader="none" w:pos="1200" w:val="left"/>
        </w:tabs>
        <w:numPr>
          <w:ilvl w:val="1"/>
          <w:numId w:val="235"/>
        </w:numPr>
        <w:rPr>
          <w:rFonts w:ascii="Calibri" w:cs="Calibri" w:eastAsia="Calibri" w:hAnsi="Calibri"/>
          <w:sz w:val="18"/>
          <w:szCs w:val="18"/>
          <w:color w:val="auto"/>
        </w:rPr>
      </w:pPr>
      <w:r>
        <w:rPr>
          <w:rFonts w:ascii="Calibri" w:cs="Calibri" w:eastAsia="Calibri" w:hAnsi="Calibri"/>
          <w:sz w:val="18"/>
          <w:szCs w:val="18"/>
          <w:color w:val="auto"/>
        </w:rPr>
        <w:t>a Lender's rate notfed pursuant to sub-paragraph (ii) of paragraph (a) above is less than the relevant Cumulatve Compounded RFR Rate; or</w:t>
      </w:r>
    </w:p>
    <w:p>
      <w:pPr>
        <w:spacing w:after="0" w:line="202" w:lineRule="exact"/>
        <w:rPr>
          <w:rFonts w:ascii="Calibri" w:cs="Calibri" w:eastAsia="Calibri" w:hAnsi="Calibri"/>
          <w:sz w:val="18"/>
          <w:szCs w:val="18"/>
          <w:color w:val="auto"/>
        </w:rPr>
      </w:pPr>
    </w:p>
    <w:p>
      <w:pPr>
        <w:ind w:left="1200" w:hanging="599"/>
        <w:spacing w:after="0"/>
        <w:tabs>
          <w:tab w:leader="none" w:pos="1200" w:val="left"/>
        </w:tabs>
        <w:numPr>
          <w:ilvl w:val="1"/>
          <w:numId w:val="235"/>
        </w:numPr>
        <w:rPr>
          <w:rFonts w:ascii="Calibri" w:cs="Calibri" w:eastAsia="Calibri" w:hAnsi="Calibri"/>
          <w:sz w:val="18"/>
          <w:szCs w:val="18"/>
          <w:color w:val="auto"/>
        </w:rPr>
      </w:pPr>
      <w:r>
        <w:rPr>
          <w:rFonts w:ascii="Calibri" w:cs="Calibri" w:eastAsia="Calibri" w:hAnsi="Calibri"/>
          <w:sz w:val="18"/>
          <w:szCs w:val="18"/>
          <w:color w:val="auto"/>
        </w:rPr>
        <w:t>a Lender does not notfy a rate to the Agent by the tme specifed in sub-paragraph (ii) of paragraph (a) above,</w:t>
      </w:r>
    </w:p>
    <w:p>
      <w:pPr>
        <w:spacing w:after="0" w:line="196"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that Lender's cost of funds relatng to its partcipaton in the Loan or the relevant part of the Loan for that Interest Period shall be deemed, for the purposes of sub-paragraph (ii) of paragraph (a) above, to be the Cumulatve Compounded RFR Rate for the Loan or the relevant part of the Loan.</w:t>
      </w:r>
    </w:p>
    <w:p>
      <w:pPr>
        <w:spacing w:after="0" w:line="360" w:lineRule="exact"/>
        <w:rPr>
          <w:sz w:val="20"/>
          <w:szCs w:val="20"/>
          <w:color w:val="auto"/>
        </w:rPr>
      </w:pPr>
    </w:p>
    <w:p>
      <w:pPr>
        <w:ind w:left="580" w:hanging="580"/>
        <w:spacing w:after="0"/>
        <w:tabs>
          <w:tab w:leader="none" w:pos="580" w:val="left"/>
        </w:tabs>
        <w:numPr>
          <w:ilvl w:val="0"/>
          <w:numId w:val="236"/>
        </w:numPr>
        <w:rPr>
          <w:rFonts w:ascii="Calibri" w:cs="Calibri" w:eastAsia="Calibri" w:hAnsi="Calibri"/>
          <w:sz w:val="18"/>
          <w:szCs w:val="18"/>
          <w:color w:val="auto"/>
        </w:rPr>
      </w:pPr>
      <w:r>
        <w:rPr>
          <w:rFonts w:ascii="Calibri" w:cs="Calibri" w:eastAsia="Calibri" w:hAnsi="Calibri"/>
          <w:sz w:val="18"/>
          <w:szCs w:val="18"/>
          <w:color w:val="auto"/>
        </w:rPr>
        <w:t>If this Clause 5.7 applies, the Agent shall, as soon as practcable, notfy the Borrower.</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5.8</w:t>
      </w:r>
      <w:r>
        <w:rPr>
          <w:sz w:val="20"/>
          <w:szCs w:val="20"/>
          <w:color w:val="auto"/>
        </w:rPr>
        <w:tab/>
      </w:r>
      <w:r>
        <w:rPr>
          <w:rFonts w:ascii="Calibri" w:cs="Calibri" w:eastAsia="Calibri" w:hAnsi="Calibri"/>
          <w:sz w:val="18"/>
          <w:szCs w:val="18"/>
          <w:b w:val="1"/>
          <w:bCs w:val="1"/>
          <w:color w:val="auto"/>
        </w:rPr>
        <w:t>Suspension of drawdown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If Clauses 5.5 or 5.6 apply before the Loan is made the Lenders' obligatons to make the Loan shall be suspended while the circumstances referred to in the Agent's notce contnue.</w:t>
      </w:r>
    </w:p>
    <w:p>
      <w:pPr>
        <w:spacing w:after="0" w:line="182" w:lineRule="exact"/>
        <w:rPr>
          <w:sz w:val="20"/>
          <w:szCs w:val="20"/>
          <w:color w:val="auto"/>
        </w:rPr>
      </w:pPr>
    </w:p>
    <w:p>
      <w:pPr>
        <w:ind w:left="580" w:hanging="580"/>
        <w:spacing w:after="0"/>
        <w:tabs>
          <w:tab w:leader="none" w:pos="580" w:val="left"/>
        </w:tabs>
        <w:numPr>
          <w:ilvl w:val="0"/>
          <w:numId w:val="23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INTEREST PERIODS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6.1</w:t>
      </w:r>
      <w:r>
        <w:rPr>
          <w:sz w:val="20"/>
          <w:szCs w:val="20"/>
          <w:color w:val="auto"/>
        </w:rPr>
        <w:tab/>
      </w:r>
      <w:r>
        <w:rPr>
          <w:rFonts w:ascii="Calibri" w:cs="Calibri" w:eastAsia="Calibri" w:hAnsi="Calibri"/>
          <w:sz w:val="18"/>
          <w:szCs w:val="18"/>
          <w:b w:val="1"/>
          <w:bCs w:val="1"/>
          <w:color w:val="auto"/>
        </w:rPr>
        <w:t>Commencement of Interest Periods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frst Interest Period applicable to the Loan shall commence on the Drawdown Date and each subsequent Interest Period shall commence on the expiry of the preceding Interest Period.</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4" w:name="page175"/>
    <w:bookmarkEnd w:id="174"/>
    <w:p>
      <w:pPr>
        <w:spacing w:after="0"/>
        <w:tabs>
          <w:tab w:leader="none" w:pos="560" w:val="left"/>
        </w:tabs>
        <w:rPr>
          <w:sz w:val="20"/>
          <w:szCs w:val="20"/>
          <w:color w:val="auto"/>
        </w:rPr>
      </w:pPr>
      <w:r>
        <w:rPr>
          <w:rFonts w:ascii="Calibri" w:cs="Calibri" w:eastAsia="Calibri" w:hAnsi="Calibri"/>
          <w:sz w:val="18"/>
          <w:szCs w:val="18"/>
          <w:b w:val="1"/>
          <w:bCs w:val="1"/>
          <w:color w:val="auto"/>
        </w:rPr>
        <w:t>6.2</w:t>
      </w:r>
      <w:r>
        <w:rPr>
          <w:sz w:val="20"/>
          <w:szCs w:val="20"/>
          <w:color w:val="auto"/>
        </w:rPr>
        <w:tab/>
      </w:r>
      <w:r>
        <w:rPr>
          <w:rFonts w:ascii="Calibri" w:cs="Calibri" w:eastAsia="Calibri" w:hAnsi="Calibri"/>
          <w:sz w:val="18"/>
          <w:szCs w:val="18"/>
          <w:b w:val="1"/>
          <w:bCs w:val="1"/>
          <w:color w:val="auto"/>
        </w:rPr>
        <w:t>Duraton of normal Interest Periods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Clauses 6.3, and 6.4, each Interest Period shall be:</w:t>
      </w:r>
    </w:p>
    <w:p>
      <w:pPr>
        <w:spacing w:after="0" w:line="183" w:lineRule="exact"/>
        <w:rPr>
          <w:sz w:val="20"/>
          <w:szCs w:val="20"/>
          <w:color w:val="auto"/>
        </w:rPr>
      </w:pPr>
    </w:p>
    <w:p>
      <w:pPr>
        <w:ind w:left="580" w:hanging="580"/>
        <w:spacing w:after="0" w:line="228" w:lineRule="auto"/>
        <w:tabs>
          <w:tab w:leader="none" w:pos="580" w:val="left"/>
        </w:tabs>
        <w:numPr>
          <w:ilvl w:val="0"/>
          <w:numId w:val="238"/>
        </w:numPr>
        <w:rPr>
          <w:rFonts w:ascii="Calibri" w:cs="Calibri" w:eastAsia="Calibri" w:hAnsi="Calibri"/>
          <w:sz w:val="18"/>
          <w:szCs w:val="18"/>
          <w:color w:val="auto"/>
        </w:rPr>
      </w:pPr>
      <w:r>
        <w:rPr>
          <w:rFonts w:ascii="Calibri" w:cs="Calibri" w:eastAsia="Calibri" w:hAnsi="Calibri"/>
          <w:sz w:val="18"/>
          <w:szCs w:val="18"/>
          <w:color w:val="auto"/>
        </w:rPr>
        <w:t>3, 6 or 12 months as notfed by the Borrower to the Agent not later than 11.00 a.m. (Hamburg tme) 3 Business Days before the commencement of the Interest Period;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38"/>
        </w:numPr>
        <w:rPr>
          <w:rFonts w:ascii="Calibri" w:cs="Calibri" w:eastAsia="Calibri" w:hAnsi="Calibri"/>
          <w:sz w:val="18"/>
          <w:szCs w:val="18"/>
          <w:color w:val="auto"/>
        </w:rPr>
      </w:pPr>
      <w:r>
        <w:rPr>
          <w:rFonts w:ascii="Calibri" w:cs="Calibri" w:eastAsia="Calibri" w:hAnsi="Calibri"/>
          <w:sz w:val="18"/>
          <w:szCs w:val="18"/>
          <w:color w:val="auto"/>
        </w:rPr>
        <w:t>such other period (as proposed by the Borrower to the Agent not later than 11:00 a.m. (Hamburg tme) 5 Business Days before the commencement of the Interest Period in respect of the Loan) as the Agent may, with the authorisaton of the Majority Lenders, agree with the Borrower;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38"/>
        </w:numPr>
        <w:rPr>
          <w:rFonts w:ascii="Calibri" w:cs="Calibri" w:eastAsia="Calibri" w:hAnsi="Calibri"/>
          <w:sz w:val="18"/>
          <w:szCs w:val="18"/>
          <w:color w:val="auto"/>
        </w:rPr>
      </w:pPr>
      <w:r>
        <w:rPr>
          <w:rFonts w:ascii="Calibri" w:cs="Calibri" w:eastAsia="Calibri" w:hAnsi="Calibri"/>
          <w:sz w:val="18"/>
          <w:szCs w:val="18"/>
          <w:color w:val="auto"/>
        </w:rPr>
        <w:t>3 months, if the Borrower fails to notfy the Agent by the tme specifed in paragraph (a) or if no such other period is agreed with the Borrower and the Agent in accordance with paragraph (b).</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6.3</w:t>
      </w:r>
      <w:r>
        <w:rPr>
          <w:sz w:val="20"/>
          <w:szCs w:val="20"/>
          <w:color w:val="auto"/>
        </w:rPr>
        <w:tab/>
      </w:r>
      <w:r>
        <w:rPr>
          <w:rFonts w:ascii="Calibri" w:cs="Calibri" w:eastAsia="Calibri" w:hAnsi="Calibri"/>
          <w:sz w:val="18"/>
          <w:szCs w:val="18"/>
          <w:b w:val="1"/>
          <w:bCs w:val="1"/>
          <w:color w:val="auto"/>
        </w:rPr>
        <w:t>Duraton of Interest Periods for Instalments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In respect of an amount due to be repaid under Clause 8 on a partcular Repayment Date, an Interest Period in respect of the Loan to which that Repayment Date relates shall end on that Repayment Date.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6.4</w:t>
      </w:r>
      <w:r>
        <w:rPr>
          <w:sz w:val="20"/>
          <w:szCs w:val="20"/>
          <w:color w:val="auto"/>
        </w:rPr>
        <w:tab/>
      </w:r>
      <w:r>
        <w:rPr>
          <w:rFonts w:ascii="Calibri" w:cs="Calibri" w:eastAsia="Calibri" w:hAnsi="Calibri"/>
          <w:sz w:val="18"/>
          <w:szCs w:val="18"/>
          <w:b w:val="1"/>
          <w:bCs w:val="1"/>
          <w:color w:val="auto"/>
        </w:rPr>
        <w:t>Non-availability of matching deposits for Interest Period selected</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If, afer the Borrower has selected, or proposed and the Lenders have agreed, an Interest Period longer than three months, any Lender notfes the Agent by 1.00 p.m. (Hamburg tme) on the second Business Day before the commencement of the Interest Period that it is not satsfed that deposits in Dollars for a period equal to the Interest Period will be available to it in the Relevant Market when the Interest Period commences, the Interest Period shall be three months.</w:t>
      </w:r>
    </w:p>
    <w:p>
      <w:pPr>
        <w:spacing w:after="0" w:line="183" w:lineRule="exact"/>
        <w:rPr>
          <w:sz w:val="20"/>
          <w:szCs w:val="20"/>
          <w:color w:val="auto"/>
        </w:rPr>
      </w:pPr>
    </w:p>
    <w:p>
      <w:pPr>
        <w:ind w:left="580" w:hanging="580"/>
        <w:spacing w:after="0"/>
        <w:tabs>
          <w:tab w:leader="none" w:pos="580" w:val="left"/>
        </w:tabs>
        <w:numPr>
          <w:ilvl w:val="0"/>
          <w:numId w:val="23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DEFAULT INTEREST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7.1</w:t>
      </w:r>
      <w:r>
        <w:rPr>
          <w:sz w:val="20"/>
          <w:szCs w:val="20"/>
          <w:color w:val="auto"/>
        </w:rPr>
        <w:tab/>
      </w:r>
      <w:r>
        <w:rPr>
          <w:rFonts w:ascii="Calibri" w:cs="Calibri" w:eastAsia="Calibri" w:hAnsi="Calibri"/>
          <w:sz w:val="18"/>
          <w:szCs w:val="18"/>
          <w:b w:val="1"/>
          <w:bCs w:val="1"/>
          <w:color w:val="auto"/>
        </w:rPr>
        <w:t>Payment of default interest on overdue amounts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shall pay interest in accordance with the following provisions of this Clause 7 on any amount payable by the Borrower under any Finance Document which the Agent, the Security Trustee or the other designated payee does not receive on or before the relevant date, that is:</w:t>
      </w:r>
    </w:p>
    <w:p>
      <w:pPr>
        <w:spacing w:after="0" w:line="360" w:lineRule="exact"/>
        <w:rPr>
          <w:sz w:val="20"/>
          <w:szCs w:val="20"/>
          <w:color w:val="auto"/>
        </w:rPr>
      </w:pPr>
    </w:p>
    <w:p>
      <w:pPr>
        <w:ind w:left="580" w:hanging="580"/>
        <w:spacing w:after="0"/>
        <w:tabs>
          <w:tab w:leader="none" w:pos="580" w:val="left"/>
        </w:tabs>
        <w:numPr>
          <w:ilvl w:val="0"/>
          <w:numId w:val="240"/>
        </w:numPr>
        <w:rPr>
          <w:rFonts w:ascii="Calibri" w:cs="Calibri" w:eastAsia="Calibri" w:hAnsi="Calibri"/>
          <w:sz w:val="18"/>
          <w:szCs w:val="18"/>
          <w:color w:val="auto"/>
        </w:rPr>
      </w:pPr>
      <w:r>
        <w:rPr>
          <w:rFonts w:ascii="Calibri" w:cs="Calibri" w:eastAsia="Calibri" w:hAnsi="Calibri"/>
          <w:sz w:val="18"/>
          <w:szCs w:val="18"/>
          <w:color w:val="auto"/>
        </w:rPr>
        <w:t>the date on which the Finance Documents provide that such amount is due for payment;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0"/>
        </w:numPr>
        <w:rPr>
          <w:rFonts w:ascii="Calibri" w:cs="Calibri" w:eastAsia="Calibri" w:hAnsi="Calibri"/>
          <w:sz w:val="18"/>
          <w:szCs w:val="18"/>
          <w:color w:val="auto"/>
        </w:rPr>
      </w:pPr>
      <w:r>
        <w:rPr>
          <w:rFonts w:ascii="Calibri" w:cs="Calibri" w:eastAsia="Calibri" w:hAnsi="Calibri"/>
          <w:sz w:val="18"/>
          <w:szCs w:val="18"/>
          <w:color w:val="auto"/>
        </w:rPr>
        <w:t>if a Finance Document provides that such amount is payable on demand, the date on which the demand is served;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0"/>
        </w:numPr>
        <w:rPr>
          <w:rFonts w:ascii="Calibri" w:cs="Calibri" w:eastAsia="Calibri" w:hAnsi="Calibri"/>
          <w:sz w:val="18"/>
          <w:szCs w:val="18"/>
          <w:color w:val="auto"/>
        </w:rPr>
      </w:pPr>
      <w:r>
        <w:rPr>
          <w:rFonts w:ascii="Calibri" w:cs="Calibri" w:eastAsia="Calibri" w:hAnsi="Calibri"/>
          <w:sz w:val="18"/>
          <w:szCs w:val="18"/>
          <w:color w:val="auto"/>
        </w:rPr>
        <w:t>if such amount has become immediately due and payable under Clause 19.4, the date on which it became immediately due and payable.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7.2</w:t>
      </w:r>
      <w:r>
        <w:rPr>
          <w:sz w:val="20"/>
          <w:szCs w:val="20"/>
          <w:color w:val="auto"/>
        </w:rPr>
        <w:tab/>
      </w:r>
      <w:r>
        <w:rPr>
          <w:rFonts w:ascii="Calibri" w:cs="Calibri" w:eastAsia="Calibri" w:hAnsi="Calibri"/>
          <w:sz w:val="18"/>
          <w:szCs w:val="18"/>
          <w:b w:val="1"/>
          <w:bCs w:val="1"/>
          <w:color w:val="auto"/>
        </w:rPr>
        <w:t>Default rate of interest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Interest shall accrue on an overdue amount from (and including) the relevant date untl the date of actual payment (as well afer as before judgment) at the rate per annum determined by the Agent to be 2.50 per cent. above:</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5" w:name="page176"/>
    <w:bookmarkEnd w:id="175"/>
    <w:p>
      <w:pPr>
        <w:ind w:left="580" w:hanging="580"/>
        <w:spacing w:after="0"/>
        <w:tabs>
          <w:tab w:leader="none" w:pos="580" w:val="left"/>
        </w:tabs>
        <w:numPr>
          <w:ilvl w:val="0"/>
          <w:numId w:val="241"/>
        </w:numPr>
        <w:rPr>
          <w:rFonts w:ascii="Calibri" w:cs="Calibri" w:eastAsia="Calibri" w:hAnsi="Calibri"/>
          <w:sz w:val="18"/>
          <w:szCs w:val="18"/>
          <w:color w:val="auto"/>
        </w:rPr>
      </w:pPr>
      <w:r>
        <w:rPr>
          <w:rFonts w:ascii="Calibri" w:cs="Calibri" w:eastAsia="Calibri" w:hAnsi="Calibri"/>
          <w:sz w:val="18"/>
          <w:szCs w:val="18"/>
          <w:color w:val="auto"/>
        </w:rPr>
        <w:t>in the case of an overdue amount of principal, the higher of the rates set out at paragraphs (a) and (b) of Clause 7.3;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1"/>
        </w:numPr>
        <w:rPr>
          <w:rFonts w:ascii="Calibri" w:cs="Calibri" w:eastAsia="Calibri" w:hAnsi="Calibri"/>
          <w:sz w:val="18"/>
          <w:szCs w:val="18"/>
          <w:color w:val="auto"/>
        </w:rPr>
      </w:pPr>
      <w:r>
        <w:rPr>
          <w:rFonts w:ascii="Calibri" w:cs="Calibri" w:eastAsia="Calibri" w:hAnsi="Calibri"/>
          <w:sz w:val="18"/>
          <w:szCs w:val="18"/>
          <w:color w:val="auto"/>
        </w:rPr>
        <w:t>in the case of any other overdue amount, the rate set out at paragraph (b) of Clause 7.3.</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7.3</w:t>
      </w:r>
      <w:r>
        <w:rPr>
          <w:sz w:val="20"/>
          <w:szCs w:val="20"/>
          <w:color w:val="auto"/>
        </w:rPr>
        <w:tab/>
      </w:r>
      <w:r>
        <w:rPr>
          <w:rFonts w:ascii="Calibri" w:cs="Calibri" w:eastAsia="Calibri" w:hAnsi="Calibri"/>
          <w:sz w:val="18"/>
          <w:szCs w:val="18"/>
          <w:b w:val="1"/>
          <w:bCs w:val="1"/>
          <w:color w:val="auto"/>
        </w:rPr>
        <w:t>Calculaton of default rate of interest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rates referred to in Clause 7.2 are:</w:t>
      </w:r>
    </w:p>
    <w:p>
      <w:pPr>
        <w:spacing w:after="0" w:line="183" w:lineRule="exact"/>
        <w:rPr>
          <w:sz w:val="20"/>
          <w:szCs w:val="20"/>
          <w:color w:val="auto"/>
        </w:rPr>
      </w:pPr>
    </w:p>
    <w:p>
      <w:pPr>
        <w:ind w:left="580" w:hanging="580"/>
        <w:spacing w:after="0" w:line="228" w:lineRule="auto"/>
        <w:tabs>
          <w:tab w:leader="none" w:pos="580" w:val="left"/>
        </w:tabs>
        <w:numPr>
          <w:ilvl w:val="0"/>
          <w:numId w:val="242"/>
        </w:numPr>
        <w:rPr>
          <w:rFonts w:ascii="Calibri" w:cs="Calibri" w:eastAsia="Calibri" w:hAnsi="Calibri"/>
          <w:sz w:val="18"/>
          <w:szCs w:val="18"/>
          <w:color w:val="auto"/>
        </w:rPr>
      </w:pPr>
      <w:r>
        <w:rPr>
          <w:rFonts w:ascii="Calibri" w:cs="Calibri" w:eastAsia="Calibri" w:hAnsi="Calibri"/>
          <w:sz w:val="18"/>
          <w:szCs w:val="18"/>
          <w:color w:val="auto"/>
        </w:rPr>
        <w:t>the rate applicable to the overdue principal amount immediately prior to the relevant date (but only for any unexpired part of any then current Interest Period applicable to it);</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42"/>
        </w:numPr>
        <w:rPr>
          <w:rFonts w:ascii="Calibri" w:cs="Calibri" w:eastAsia="Calibri" w:hAnsi="Calibri"/>
          <w:sz w:val="18"/>
          <w:szCs w:val="18"/>
          <w:color w:val="auto"/>
        </w:rPr>
      </w:pPr>
      <w:r>
        <w:rPr>
          <w:rFonts w:ascii="Calibri" w:cs="Calibri" w:eastAsia="Calibri" w:hAnsi="Calibri"/>
          <w:sz w:val="18"/>
          <w:szCs w:val="18"/>
          <w:color w:val="auto"/>
        </w:rPr>
        <w:t>the aggregate of the Margin plus, in respect of successive Interest Periods of any duraton (including at call) up to three months which the Agent may select from tme to tme, a rate from tme to tme determined by the Agent by reference to each Lender’s "cost of funds" (as such term is referred to in paragraph (a) of Clause 1.2).</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7.4</w:t>
      </w:r>
      <w:r>
        <w:rPr>
          <w:sz w:val="20"/>
          <w:szCs w:val="20"/>
          <w:color w:val="auto"/>
        </w:rPr>
        <w:tab/>
      </w:r>
      <w:r>
        <w:rPr>
          <w:rFonts w:ascii="Calibri" w:cs="Calibri" w:eastAsia="Calibri" w:hAnsi="Calibri"/>
          <w:sz w:val="18"/>
          <w:szCs w:val="18"/>
          <w:b w:val="1"/>
          <w:bCs w:val="1"/>
          <w:color w:val="auto"/>
        </w:rPr>
        <w:t>Notfcaton of interest periods and default rates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shall promptly notfy the Lenders and the Borrower of each interest rate determined by the Agent under Clause 7.3 and of each period selected by the Agent for the purposes of paragraph (b) of Clause 7.3of that Clause; but this shall not be taken to imply that the Borrower is liable to pay such interest only with efect from the date of the Agent's notfcaton.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7.5</w:t>
      </w:r>
      <w:r>
        <w:rPr>
          <w:sz w:val="20"/>
          <w:szCs w:val="20"/>
          <w:color w:val="auto"/>
        </w:rPr>
        <w:tab/>
      </w:r>
      <w:r>
        <w:rPr>
          <w:rFonts w:ascii="Calibri" w:cs="Calibri" w:eastAsia="Calibri" w:hAnsi="Calibri"/>
          <w:sz w:val="18"/>
          <w:szCs w:val="18"/>
          <w:b w:val="1"/>
          <w:bCs w:val="1"/>
          <w:color w:val="auto"/>
        </w:rPr>
        <w:t>Payment of accrued default interest</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Subject to the other provisions of this Agreement, any interest due under this Clause shall be paid on the last day of the period by reference to which it was determined; and the payment shall be made to the Agent for the account of the Creditor Party to which the overdue amount is due.</w:t>
      </w:r>
    </w:p>
    <w:p>
      <w:pPr>
        <w:spacing w:after="0" w:line="360"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7.6</w:t>
      </w:r>
      <w:r>
        <w:rPr>
          <w:sz w:val="20"/>
          <w:szCs w:val="20"/>
          <w:color w:val="auto"/>
        </w:rPr>
        <w:tab/>
      </w:r>
      <w:r>
        <w:rPr>
          <w:rFonts w:ascii="Calibri" w:cs="Calibri" w:eastAsia="Calibri" w:hAnsi="Calibri"/>
          <w:sz w:val="18"/>
          <w:szCs w:val="18"/>
          <w:b w:val="1"/>
          <w:bCs w:val="1"/>
          <w:color w:val="auto"/>
        </w:rPr>
        <w:t>Compounding of default interest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Any such interest which is not paid at the end of the period by reference to which it was determined shall thereupon be compounded.</w:t>
      </w:r>
    </w:p>
    <w:p>
      <w:pPr>
        <w:spacing w:after="0" w:line="183" w:lineRule="exact"/>
        <w:rPr>
          <w:sz w:val="20"/>
          <w:szCs w:val="20"/>
          <w:color w:val="auto"/>
        </w:rPr>
      </w:pPr>
    </w:p>
    <w:p>
      <w:pPr>
        <w:ind w:right="8200"/>
        <w:spacing w:after="0" w:line="435" w:lineRule="auto"/>
        <w:tabs>
          <w:tab w:leader="none" w:pos="589" w:val="left"/>
        </w:tabs>
        <w:numPr>
          <w:ilvl w:val="0"/>
          <w:numId w:val="24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REPAYMENT AND PREPAYMENT 8.1 Amount of Instalments</w:t>
      </w:r>
    </w:p>
    <w:p>
      <w:pPr>
        <w:spacing w:after="0" w:line="3" w:lineRule="exact"/>
        <w:rPr>
          <w:rFonts w:ascii="Calibri" w:cs="Calibri" w:eastAsia="Calibri" w:hAnsi="Calibri"/>
          <w:sz w:val="18"/>
          <w:szCs w:val="18"/>
          <w:b w:val="1"/>
          <w:bCs w:val="1"/>
          <w:color w:val="auto"/>
        </w:rPr>
      </w:pPr>
    </w:p>
    <w:p>
      <w:pPr>
        <w:ind w:left="600"/>
        <w:spacing w:after="0"/>
        <w:rPr>
          <w:rFonts w:ascii="Calibri" w:cs="Calibri" w:eastAsia="Calibri" w:hAnsi="Calibri"/>
          <w:sz w:val="18"/>
          <w:szCs w:val="18"/>
          <w:b w:val="1"/>
          <w:bCs w:val="1"/>
          <w:color w:val="auto"/>
        </w:rPr>
      </w:pPr>
      <w:r>
        <w:rPr>
          <w:rFonts w:ascii="Calibri" w:cs="Calibri" w:eastAsia="Calibri" w:hAnsi="Calibri"/>
          <w:sz w:val="18"/>
          <w:szCs w:val="18"/>
          <w:color w:val="auto"/>
        </w:rPr>
        <w:t>The Borrower shall repay the Loan by:</w:t>
      </w:r>
    </w:p>
    <w:p>
      <w:pPr>
        <w:spacing w:after="0" w:line="181" w:lineRule="exact"/>
        <w:rPr>
          <w:sz w:val="20"/>
          <w:szCs w:val="20"/>
          <w:color w:val="auto"/>
        </w:rPr>
      </w:pPr>
    </w:p>
    <w:p>
      <w:pPr>
        <w:ind w:left="580" w:hanging="580"/>
        <w:spacing w:after="0"/>
        <w:tabs>
          <w:tab w:leader="none" w:pos="580" w:val="left"/>
        </w:tabs>
        <w:numPr>
          <w:ilvl w:val="0"/>
          <w:numId w:val="244"/>
        </w:numPr>
        <w:rPr>
          <w:rFonts w:ascii="Calibri" w:cs="Calibri" w:eastAsia="Calibri" w:hAnsi="Calibri"/>
          <w:sz w:val="18"/>
          <w:szCs w:val="18"/>
          <w:color w:val="auto"/>
        </w:rPr>
      </w:pPr>
      <w:r>
        <w:rPr>
          <w:rFonts w:ascii="Calibri" w:cs="Calibri" w:eastAsia="Calibri" w:hAnsi="Calibri"/>
          <w:sz w:val="18"/>
          <w:szCs w:val="18"/>
          <w:color w:val="auto"/>
        </w:rPr>
        <w:t>24 equal consecutve quarterly instalments, each in the amount of $1,330,000 (each an "</w:t>
      </w:r>
      <w:r>
        <w:rPr>
          <w:rFonts w:ascii="Calibri" w:cs="Calibri" w:eastAsia="Calibri" w:hAnsi="Calibri"/>
          <w:sz w:val="18"/>
          <w:szCs w:val="18"/>
          <w:b w:val="1"/>
          <w:bCs w:val="1"/>
          <w:color w:val="auto"/>
        </w:rPr>
        <w:t>Instalment</w:t>
      </w:r>
      <w:r>
        <w:rPr>
          <w:rFonts w:ascii="Calibri" w:cs="Calibri" w:eastAsia="Calibri" w:hAnsi="Calibri"/>
          <w:sz w:val="18"/>
          <w:szCs w:val="18"/>
          <w:color w:val="auto"/>
        </w:rPr>
        <w:t>" and, together, the "</w:t>
      </w:r>
      <w:r>
        <w:rPr>
          <w:rFonts w:ascii="Calibri" w:cs="Calibri" w:eastAsia="Calibri" w:hAnsi="Calibri"/>
          <w:sz w:val="18"/>
          <w:szCs w:val="18"/>
          <w:b w:val="1"/>
          <w:bCs w:val="1"/>
          <w:color w:val="auto"/>
        </w:rPr>
        <w:t>Instalments</w:t>
      </w:r>
      <w:r>
        <w:rPr>
          <w:rFonts w:ascii="Calibri" w:cs="Calibri" w:eastAsia="Calibri" w:hAnsi="Calibri"/>
          <w:sz w:val="18"/>
          <w:szCs w:val="18"/>
          <w:color w:val="auto"/>
        </w:rPr>
        <w:t>");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4"/>
        </w:numPr>
        <w:rPr>
          <w:rFonts w:ascii="Calibri" w:cs="Calibri" w:eastAsia="Calibri" w:hAnsi="Calibri"/>
          <w:sz w:val="18"/>
          <w:szCs w:val="18"/>
          <w:color w:val="auto"/>
        </w:rPr>
      </w:pPr>
      <w:r>
        <w:rPr>
          <w:rFonts w:ascii="Calibri" w:cs="Calibri" w:eastAsia="Calibri" w:hAnsi="Calibri"/>
          <w:sz w:val="18"/>
          <w:szCs w:val="18"/>
          <w:color w:val="auto"/>
        </w:rPr>
        <w:t>together with the last instalment, a balloon instalment in the amount of $73,080,000 (the "</w:t>
      </w:r>
      <w:r>
        <w:rPr>
          <w:rFonts w:ascii="Calibri" w:cs="Calibri" w:eastAsia="Calibri" w:hAnsi="Calibri"/>
          <w:sz w:val="18"/>
          <w:szCs w:val="18"/>
          <w:b w:val="1"/>
          <w:bCs w:val="1"/>
          <w:color w:val="auto"/>
        </w:rPr>
        <w:t>Balloon Instalment</w:t>
      </w:r>
      <w:r>
        <w:rPr>
          <w:rFonts w:ascii="Calibri" w:cs="Calibri" w:eastAsia="Calibri" w:hAnsi="Calibri"/>
          <w:sz w:val="18"/>
          <w:szCs w:val="18"/>
          <w:color w:val="auto"/>
        </w:rPr>
        <w: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if the amount of the Loan advanced is less than $105,000,000, each Instalment and the Balloon Instalment shall be reduced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by an amount equal to the undrawn amount on a </w:t>
      </w:r>
      <w:r>
        <w:rPr>
          <w:rFonts w:ascii="Calibri" w:cs="Calibri" w:eastAsia="Calibri" w:hAnsi="Calibri"/>
          <w:sz w:val="18"/>
          <w:szCs w:val="18"/>
          <w:i w:val="1"/>
          <w:iCs w:val="1"/>
          <w:color w:val="auto"/>
        </w:rPr>
        <w:t>pro rata</w:t>
      </w:r>
      <w:r>
        <w:rPr>
          <w:rFonts w:ascii="Calibri" w:cs="Calibri" w:eastAsia="Calibri" w:hAnsi="Calibri"/>
          <w:sz w:val="18"/>
          <w:szCs w:val="18"/>
          <w:color w:val="auto"/>
        </w:rPr>
        <w:t xml:space="preserve"> basis.</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6" w:name="page177"/>
    <w:bookmarkEnd w:id="176"/>
    <w:p>
      <w:pPr>
        <w:spacing w:after="0"/>
        <w:tabs>
          <w:tab w:leader="none" w:pos="560" w:val="left"/>
        </w:tabs>
        <w:rPr>
          <w:sz w:val="20"/>
          <w:szCs w:val="20"/>
          <w:color w:val="auto"/>
        </w:rPr>
      </w:pPr>
      <w:r>
        <w:rPr>
          <w:rFonts w:ascii="Calibri" w:cs="Calibri" w:eastAsia="Calibri" w:hAnsi="Calibri"/>
          <w:sz w:val="18"/>
          <w:szCs w:val="18"/>
          <w:b w:val="1"/>
          <w:bCs w:val="1"/>
          <w:color w:val="auto"/>
        </w:rPr>
        <w:t>8.2</w:t>
      </w:r>
      <w:r>
        <w:rPr>
          <w:sz w:val="20"/>
          <w:szCs w:val="20"/>
          <w:color w:val="auto"/>
        </w:rPr>
        <w:tab/>
      </w:r>
      <w:r>
        <w:rPr>
          <w:rFonts w:ascii="Calibri" w:cs="Calibri" w:eastAsia="Calibri" w:hAnsi="Calibri"/>
          <w:sz w:val="18"/>
          <w:szCs w:val="18"/>
          <w:b w:val="1"/>
          <w:bCs w:val="1"/>
          <w:color w:val="auto"/>
        </w:rPr>
        <w:t>Repayment Dates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frst Instalment shall be repaid on the date falling three months afer the Drawdown Date, each subsequent Instalment shall be repaid at three-monthly intervals thereafer and the last Instalment, shall be repaid together with the Balloon Instalment, on the Final Repayment Date.</w:t>
      </w:r>
    </w:p>
    <w:p>
      <w:pPr>
        <w:spacing w:after="0" w:line="360"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8.3</w:t>
      </w:r>
      <w:r>
        <w:rPr>
          <w:sz w:val="20"/>
          <w:szCs w:val="20"/>
          <w:color w:val="auto"/>
        </w:rPr>
        <w:tab/>
      </w:r>
      <w:r>
        <w:rPr>
          <w:rFonts w:ascii="Calibri" w:cs="Calibri" w:eastAsia="Calibri" w:hAnsi="Calibri"/>
          <w:sz w:val="18"/>
          <w:szCs w:val="18"/>
          <w:b w:val="1"/>
          <w:bCs w:val="1"/>
          <w:color w:val="auto"/>
        </w:rPr>
        <w:t>Final Repayment Date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On the Final Repayment Date the Borrower shall additonally pay to the Agent for the account of the Creditor Partes all other sums then accrued or owing under any Finance Document.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8.4</w:t>
      </w:r>
      <w:r>
        <w:rPr>
          <w:sz w:val="20"/>
          <w:szCs w:val="20"/>
          <w:color w:val="auto"/>
        </w:rPr>
        <w:tab/>
      </w:r>
      <w:r>
        <w:rPr>
          <w:rFonts w:ascii="Calibri" w:cs="Calibri" w:eastAsia="Calibri" w:hAnsi="Calibri"/>
          <w:sz w:val="18"/>
          <w:szCs w:val="18"/>
          <w:b w:val="1"/>
          <w:bCs w:val="1"/>
          <w:color w:val="auto"/>
        </w:rPr>
        <w:t>Voluntary prepayment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the following conditons, the Borrower may prepay the whole or any part of the Loan on the last day of an Interest Period.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8.5</w:t>
      </w:r>
      <w:r>
        <w:rPr>
          <w:sz w:val="20"/>
          <w:szCs w:val="20"/>
          <w:color w:val="auto"/>
        </w:rPr>
        <w:tab/>
      </w:r>
      <w:r>
        <w:rPr>
          <w:rFonts w:ascii="Calibri" w:cs="Calibri" w:eastAsia="Calibri" w:hAnsi="Calibri"/>
          <w:sz w:val="18"/>
          <w:szCs w:val="18"/>
          <w:b w:val="1"/>
          <w:bCs w:val="1"/>
          <w:color w:val="auto"/>
        </w:rPr>
        <w:t>Conditons for voluntary prepayment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conditons referred to in Clause 8.4 are that:</w:t>
      </w:r>
    </w:p>
    <w:p>
      <w:pPr>
        <w:spacing w:after="0" w:line="183" w:lineRule="exact"/>
        <w:rPr>
          <w:sz w:val="20"/>
          <w:szCs w:val="20"/>
          <w:color w:val="auto"/>
        </w:rPr>
      </w:pPr>
    </w:p>
    <w:p>
      <w:pPr>
        <w:ind w:left="580" w:hanging="580"/>
        <w:spacing w:after="0" w:line="228" w:lineRule="auto"/>
        <w:tabs>
          <w:tab w:leader="none" w:pos="580" w:val="left"/>
        </w:tabs>
        <w:numPr>
          <w:ilvl w:val="0"/>
          <w:numId w:val="245"/>
        </w:numPr>
        <w:rPr>
          <w:rFonts w:ascii="Calibri" w:cs="Calibri" w:eastAsia="Calibri" w:hAnsi="Calibri"/>
          <w:sz w:val="18"/>
          <w:szCs w:val="18"/>
          <w:color w:val="auto"/>
        </w:rPr>
      </w:pPr>
      <w:r>
        <w:rPr>
          <w:rFonts w:ascii="Calibri" w:cs="Calibri" w:eastAsia="Calibri" w:hAnsi="Calibri"/>
          <w:sz w:val="18"/>
          <w:szCs w:val="18"/>
          <w:color w:val="auto"/>
        </w:rPr>
        <w:t>a partal prepayment shall be in an amount equal to $1,000,000 or a higher integral multple thereof (or such other amount acceptable to the Agent in its discreton);</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45"/>
        </w:numPr>
        <w:rPr>
          <w:rFonts w:ascii="Calibri" w:cs="Calibri" w:eastAsia="Calibri" w:hAnsi="Calibri"/>
          <w:sz w:val="18"/>
          <w:szCs w:val="18"/>
          <w:color w:val="auto"/>
        </w:rPr>
      </w:pPr>
      <w:r>
        <w:rPr>
          <w:rFonts w:ascii="Calibri" w:cs="Calibri" w:eastAsia="Calibri" w:hAnsi="Calibri"/>
          <w:sz w:val="18"/>
          <w:szCs w:val="18"/>
          <w:color w:val="auto"/>
        </w:rPr>
        <w:t>the Agent has received from the Borrower at least 5 Business Days' prior irrevocable writen notce (in each case, a "</w:t>
      </w:r>
      <w:r>
        <w:rPr>
          <w:rFonts w:ascii="Calibri" w:cs="Calibri" w:eastAsia="Calibri" w:hAnsi="Calibri"/>
          <w:sz w:val="18"/>
          <w:szCs w:val="18"/>
          <w:b w:val="1"/>
          <w:bCs w:val="1"/>
          <w:color w:val="auto"/>
        </w:rPr>
        <w:t>Prepayment Notce</w:t>
      </w:r>
      <w:r>
        <w:rPr>
          <w:rFonts w:ascii="Calibri" w:cs="Calibri" w:eastAsia="Calibri" w:hAnsi="Calibri"/>
          <w:sz w:val="18"/>
          <w:szCs w:val="18"/>
          <w:color w:val="auto"/>
        </w:rPr>
        <w:t>") specifying the amount to be prepaid and the date on which the prepayment is to be made;</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45"/>
        </w:numPr>
        <w:rPr>
          <w:rFonts w:ascii="Calibri" w:cs="Calibri" w:eastAsia="Calibri" w:hAnsi="Calibri"/>
          <w:sz w:val="18"/>
          <w:szCs w:val="18"/>
          <w:color w:val="auto"/>
        </w:rPr>
      </w:pPr>
      <w:r>
        <w:rPr>
          <w:rFonts w:ascii="Calibri" w:cs="Calibri" w:eastAsia="Calibri" w:hAnsi="Calibri"/>
          <w:sz w:val="18"/>
          <w:szCs w:val="18"/>
          <w:color w:val="auto"/>
        </w:rPr>
        <w:t>the Borrower has provided evidence satsfactory to the Agent that any consent required by the Borrower or any Security Party in connecton with the prepayment has been obtained and remains in force, and that any regulaton relevant to this Agreement which afects the Borrower or any Security Party has been complied with;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5"/>
        </w:numPr>
        <w:rPr>
          <w:rFonts w:ascii="Calibri" w:cs="Calibri" w:eastAsia="Calibri" w:hAnsi="Calibri"/>
          <w:sz w:val="18"/>
          <w:szCs w:val="18"/>
          <w:color w:val="auto"/>
        </w:rPr>
      </w:pPr>
      <w:r>
        <w:rPr>
          <w:rFonts w:ascii="Calibri" w:cs="Calibri" w:eastAsia="Calibri" w:hAnsi="Calibri"/>
          <w:sz w:val="18"/>
          <w:szCs w:val="18"/>
          <w:color w:val="auto"/>
        </w:rPr>
        <w:t>the Borrower has complied with Clause 8.11, on or prior to the date of prepayment.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8.6</w:t>
      </w:r>
      <w:r>
        <w:rPr>
          <w:sz w:val="20"/>
          <w:szCs w:val="20"/>
          <w:color w:val="auto"/>
        </w:rPr>
        <w:tab/>
      </w:r>
      <w:r>
        <w:rPr>
          <w:rFonts w:ascii="Calibri" w:cs="Calibri" w:eastAsia="Calibri" w:hAnsi="Calibri"/>
          <w:sz w:val="18"/>
          <w:szCs w:val="18"/>
          <w:b w:val="1"/>
          <w:bCs w:val="1"/>
          <w:color w:val="auto"/>
        </w:rPr>
        <w:t>Optonal facility cancellaton</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shall be enttled, upon giving to the Agent not less than 5 Business Days' prior writen notce, to cancel, in whole or in part, and, if in part, by an aggregate amount not less than an amount equal to $1,000,000 or a higher integral multple thereof (or such other amount acceptable to the Agent in its sole discreton), the undrawn balance of the Total Commitments (the "</w:t>
      </w:r>
      <w:r>
        <w:rPr>
          <w:rFonts w:ascii="Calibri" w:cs="Calibri" w:eastAsia="Calibri" w:hAnsi="Calibri"/>
          <w:sz w:val="18"/>
          <w:szCs w:val="18"/>
          <w:b w:val="1"/>
          <w:bCs w:val="1"/>
          <w:color w:val="auto"/>
        </w:rPr>
        <w:t>Cancellaton Notce</w:t>
      </w:r>
      <w:r>
        <w:rPr>
          <w:rFonts w:ascii="Calibri" w:cs="Calibri" w:eastAsia="Calibri" w:hAnsi="Calibri"/>
          <w:sz w:val="18"/>
          <w:szCs w:val="18"/>
          <w:color w:val="auto"/>
        </w:rPr>
        <w:t>") which notce shall be irrevocable. Upon such cancellaton taking efect on expiry of a Cancellaton Notce the several obligatons of the Lenders to make their respectve Commitments available in relaton to the porton of the Total Commitments to which such Cancellaton Notce relates shall terminate.</w:t>
      </w:r>
    </w:p>
    <w:p>
      <w:pPr>
        <w:spacing w:after="0" w:line="30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8.7</w:t>
      </w:r>
      <w:r>
        <w:rPr>
          <w:sz w:val="20"/>
          <w:szCs w:val="20"/>
          <w:color w:val="auto"/>
        </w:rPr>
        <w:tab/>
      </w:r>
      <w:r>
        <w:rPr>
          <w:rFonts w:ascii="Calibri" w:cs="Calibri" w:eastAsia="Calibri" w:hAnsi="Calibri"/>
          <w:sz w:val="18"/>
          <w:szCs w:val="18"/>
          <w:b w:val="1"/>
          <w:bCs w:val="1"/>
          <w:color w:val="auto"/>
        </w:rPr>
        <w:t>Cancellaton Notce or Prepayment Notce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Agent shall notfy the Lenders promptly upon receiving a Cancellaton Notce or Prepayment Notce, and shall provide, in the case of a Prepayment Notce, any Lender which so requests with a copy of any document delivered by the Borrower under Clause 8.5(c).</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77" w:name="page178"/>
    <w:bookmarkEnd w:id="177"/>
    <w:p>
      <w:pPr>
        <w:spacing w:after="0"/>
        <w:tabs>
          <w:tab w:leader="none" w:pos="560" w:val="left"/>
        </w:tabs>
        <w:rPr>
          <w:sz w:val="20"/>
          <w:szCs w:val="20"/>
          <w:color w:val="auto"/>
        </w:rPr>
      </w:pPr>
      <w:r>
        <w:rPr>
          <w:rFonts w:ascii="Calibri" w:cs="Calibri" w:eastAsia="Calibri" w:hAnsi="Calibri"/>
          <w:sz w:val="18"/>
          <w:szCs w:val="18"/>
          <w:b w:val="1"/>
          <w:bCs w:val="1"/>
          <w:color w:val="auto"/>
        </w:rPr>
        <w:t>8.8</w:t>
      </w:r>
      <w:r>
        <w:rPr>
          <w:sz w:val="20"/>
          <w:szCs w:val="20"/>
          <w:color w:val="auto"/>
        </w:rPr>
        <w:tab/>
      </w:r>
      <w:r>
        <w:rPr>
          <w:rFonts w:ascii="Calibri" w:cs="Calibri" w:eastAsia="Calibri" w:hAnsi="Calibri"/>
          <w:sz w:val="18"/>
          <w:szCs w:val="18"/>
          <w:b w:val="1"/>
          <w:bCs w:val="1"/>
          <w:color w:val="auto"/>
        </w:rPr>
        <w:t>Mandatory prepayment on sale or Total Loss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be obliged to prepay the Loan if the Ship:</w:t>
      </w:r>
    </w:p>
    <w:p>
      <w:pPr>
        <w:spacing w:after="0" w:line="181" w:lineRule="exact"/>
        <w:rPr>
          <w:sz w:val="20"/>
          <w:szCs w:val="20"/>
          <w:color w:val="auto"/>
        </w:rPr>
      </w:pPr>
    </w:p>
    <w:p>
      <w:pPr>
        <w:ind w:left="580" w:hanging="580"/>
        <w:spacing w:after="0"/>
        <w:tabs>
          <w:tab w:leader="none" w:pos="580" w:val="left"/>
        </w:tabs>
        <w:numPr>
          <w:ilvl w:val="0"/>
          <w:numId w:val="246"/>
        </w:numPr>
        <w:rPr>
          <w:rFonts w:ascii="Calibri" w:cs="Calibri" w:eastAsia="Calibri" w:hAnsi="Calibri"/>
          <w:sz w:val="18"/>
          <w:szCs w:val="18"/>
          <w:color w:val="auto"/>
        </w:rPr>
      </w:pPr>
      <w:r>
        <w:rPr>
          <w:rFonts w:ascii="Calibri" w:cs="Calibri" w:eastAsia="Calibri" w:hAnsi="Calibri"/>
          <w:sz w:val="18"/>
          <w:szCs w:val="18"/>
          <w:color w:val="auto"/>
        </w:rPr>
        <w:t>is sold, on or before the date on which the sale is completed by delivery of the Ship to the buyer;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46"/>
        </w:numPr>
        <w:rPr>
          <w:rFonts w:ascii="Calibri" w:cs="Calibri" w:eastAsia="Calibri" w:hAnsi="Calibri"/>
          <w:sz w:val="18"/>
          <w:szCs w:val="18"/>
          <w:color w:val="auto"/>
        </w:rPr>
      </w:pPr>
      <w:r>
        <w:rPr>
          <w:rFonts w:ascii="Calibri" w:cs="Calibri" w:eastAsia="Calibri" w:hAnsi="Calibri"/>
          <w:sz w:val="18"/>
          <w:szCs w:val="18"/>
          <w:color w:val="auto"/>
        </w:rPr>
        <w:t>becomes a Total Loss, on the earlier of the date falling 150 days afer the Total Loss Date and the date of receipt by the Security Trustee of the proceeds of insurance relatng to such Total Loss.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8.9</w:t>
      </w:r>
      <w:r>
        <w:rPr>
          <w:sz w:val="20"/>
          <w:szCs w:val="20"/>
          <w:color w:val="auto"/>
        </w:rPr>
        <w:tab/>
      </w:r>
      <w:r>
        <w:rPr>
          <w:rFonts w:ascii="Calibri" w:cs="Calibri" w:eastAsia="Calibri" w:hAnsi="Calibri"/>
          <w:sz w:val="18"/>
          <w:szCs w:val="18"/>
          <w:b w:val="1"/>
          <w:bCs w:val="1"/>
          <w:color w:val="auto"/>
        </w:rPr>
        <w:t>Efect of Prepayment Notce and Cancellaton Notce</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Neither a Prepayment Notce nor a Cancellaton Notce may be withdrawn or amended without the consent of the Agent, given with the authorisaton of the Majority Lenders, and:</w:t>
      </w:r>
    </w:p>
    <w:p>
      <w:pPr>
        <w:spacing w:after="0" w:line="184" w:lineRule="exact"/>
        <w:rPr>
          <w:sz w:val="20"/>
          <w:szCs w:val="20"/>
          <w:color w:val="auto"/>
        </w:rPr>
      </w:pPr>
    </w:p>
    <w:p>
      <w:pPr>
        <w:ind w:left="580" w:hanging="580"/>
        <w:spacing w:after="0" w:line="228" w:lineRule="auto"/>
        <w:tabs>
          <w:tab w:leader="none" w:pos="580" w:val="left"/>
        </w:tabs>
        <w:numPr>
          <w:ilvl w:val="0"/>
          <w:numId w:val="247"/>
        </w:numPr>
        <w:rPr>
          <w:rFonts w:ascii="Calibri" w:cs="Calibri" w:eastAsia="Calibri" w:hAnsi="Calibri"/>
          <w:sz w:val="18"/>
          <w:szCs w:val="18"/>
          <w:color w:val="auto"/>
        </w:rPr>
      </w:pPr>
      <w:r>
        <w:rPr>
          <w:rFonts w:ascii="Calibri" w:cs="Calibri" w:eastAsia="Calibri" w:hAnsi="Calibri"/>
          <w:sz w:val="18"/>
          <w:szCs w:val="18"/>
          <w:color w:val="auto"/>
        </w:rPr>
        <w:t>in the case of a Prepayment Notce, the amount specifed in that Prepayment Notce shall become due and payable by the Borrower on the date for prepayment specifed in that Prepayment Notce;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47"/>
        </w:numPr>
        <w:rPr>
          <w:rFonts w:ascii="Calibri" w:cs="Calibri" w:eastAsia="Calibri" w:hAnsi="Calibri"/>
          <w:sz w:val="18"/>
          <w:szCs w:val="18"/>
          <w:color w:val="auto"/>
        </w:rPr>
      </w:pPr>
      <w:r>
        <w:rPr>
          <w:rFonts w:ascii="Calibri" w:cs="Calibri" w:eastAsia="Calibri" w:hAnsi="Calibri"/>
          <w:sz w:val="18"/>
          <w:szCs w:val="18"/>
          <w:color w:val="auto"/>
        </w:rPr>
        <w:t>in the case of a Cancellaton Notce, the amount cancelled shall be permanently cancelled and may not be borrowed.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8.10</w:t>
        <w:tab/>
        <w:t>Right of repayment and cancellaton in relaton to a single Lender</w:t>
      </w:r>
    </w:p>
    <w:p>
      <w:pPr>
        <w:spacing w:after="0" w:line="181" w:lineRule="exact"/>
        <w:rPr>
          <w:sz w:val="20"/>
          <w:szCs w:val="20"/>
          <w:color w:val="auto"/>
        </w:rPr>
      </w:pPr>
    </w:p>
    <w:p>
      <w:pPr>
        <w:ind w:left="580" w:hanging="580"/>
        <w:spacing w:after="0"/>
        <w:tabs>
          <w:tab w:leader="none" w:pos="580" w:val="left"/>
        </w:tabs>
        <w:numPr>
          <w:ilvl w:val="0"/>
          <w:numId w:val="248"/>
        </w:numPr>
        <w:rPr>
          <w:rFonts w:ascii="Calibri" w:cs="Calibri" w:eastAsia="Calibri" w:hAnsi="Calibri"/>
          <w:sz w:val="18"/>
          <w:szCs w:val="18"/>
          <w:color w:val="auto"/>
        </w:rPr>
      </w:pPr>
      <w:r>
        <w:rPr>
          <w:rFonts w:ascii="Calibri" w:cs="Calibri" w:eastAsia="Calibri" w:hAnsi="Calibri"/>
          <w:sz w:val="18"/>
          <w:szCs w:val="18"/>
          <w:color w:val="auto"/>
        </w:rPr>
        <w:t>If:</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48"/>
        </w:numPr>
        <w:rPr>
          <w:rFonts w:ascii="Calibri" w:cs="Calibri" w:eastAsia="Calibri" w:hAnsi="Calibri"/>
          <w:sz w:val="18"/>
          <w:szCs w:val="18"/>
          <w:color w:val="auto"/>
        </w:rPr>
      </w:pPr>
      <w:r>
        <w:rPr>
          <w:rFonts w:ascii="Calibri" w:cs="Calibri" w:eastAsia="Calibri" w:hAnsi="Calibri"/>
          <w:sz w:val="18"/>
          <w:szCs w:val="18"/>
          <w:color w:val="auto"/>
        </w:rPr>
        <w:t>any sum payable to any Lender by the Borrower or a Security Party or any Approved Manager is required to be increased under paragraph (b) of Clause 22.2 or under that Clause as incorporated by reference or in full in any other Finance Document;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48"/>
        </w:numPr>
        <w:rPr>
          <w:rFonts w:ascii="Calibri" w:cs="Calibri" w:eastAsia="Calibri" w:hAnsi="Calibri"/>
          <w:sz w:val="18"/>
          <w:szCs w:val="18"/>
          <w:color w:val="auto"/>
        </w:rPr>
      </w:pPr>
      <w:r>
        <w:rPr>
          <w:rFonts w:ascii="Calibri" w:cs="Calibri" w:eastAsia="Calibri" w:hAnsi="Calibri"/>
          <w:sz w:val="18"/>
          <w:szCs w:val="18"/>
          <w:color w:val="auto"/>
        </w:rPr>
        <w:t>any Lender claims indemnifcaton from the Borrower under Clause 24.1; or</w:t>
      </w:r>
    </w:p>
    <w:p>
      <w:pPr>
        <w:spacing w:after="0" w:line="183" w:lineRule="exact"/>
        <w:rPr>
          <w:rFonts w:ascii="Calibri" w:cs="Calibri" w:eastAsia="Calibri" w:hAnsi="Calibri"/>
          <w:sz w:val="18"/>
          <w:szCs w:val="18"/>
          <w:color w:val="auto"/>
        </w:rPr>
      </w:pPr>
    </w:p>
    <w:p>
      <w:pPr>
        <w:ind w:left="1180" w:right="4560" w:hanging="591"/>
        <w:spacing w:after="0" w:line="435" w:lineRule="auto"/>
        <w:tabs>
          <w:tab w:leader="none" w:pos="1173" w:val="left"/>
        </w:tabs>
        <w:numPr>
          <w:ilvl w:val="1"/>
          <w:numId w:val="248"/>
        </w:numPr>
        <w:rPr>
          <w:rFonts w:ascii="Calibri" w:cs="Calibri" w:eastAsia="Calibri" w:hAnsi="Calibri"/>
          <w:sz w:val="18"/>
          <w:szCs w:val="18"/>
          <w:color w:val="auto"/>
        </w:rPr>
      </w:pPr>
      <w:r>
        <w:rPr>
          <w:rFonts w:ascii="Calibri" w:cs="Calibri" w:eastAsia="Calibri" w:hAnsi="Calibri"/>
          <w:sz w:val="18"/>
          <w:szCs w:val="18"/>
          <w:color w:val="auto"/>
        </w:rPr>
        <w:t>the Agent receives notfcaton from a Relevant Lender under Clause 5.6, the Borrower may:</w:t>
      </w:r>
    </w:p>
    <w:p>
      <w:pPr>
        <w:spacing w:after="0" w:line="5" w:lineRule="exact"/>
        <w:rPr>
          <w:rFonts w:ascii="Calibri" w:cs="Calibri" w:eastAsia="Calibri" w:hAnsi="Calibri"/>
          <w:sz w:val="18"/>
          <w:szCs w:val="18"/>
          <w:color w:val="auto"/>
        </w:rPr>
      </w:pPr>
    </w:p>
    <w:p>
      <w:pPr>
        <w:ind w:left="1760" w:hanging="582"/>
        <w:spacing w:after="0" w:line="228" w:lineRule="auto"/>
        <w:tabs>
          <w:tab w:leader="none" w:pos="1760" w:val="left"/>
        </w:tabs>
        <w:numPr>
          <w:ilvl w:val="2"/>
          <w:numId w:val="248"/>
        </w:numPr>
        <w:rPr>
          <w:rFonts w:ascii="Calibri" w:cs="Calibri" w:eastAsia="Calibri" w:hAnsi="Calibri"/>
          <w:sz w:val="18"/>
          <w:szCs w:val="18"/>
          <w:color w:val="auto"/>
        </w:rPr>
      </w:pPr>
      <w:r>
        <w:rPr>
          <w:rFonts w:ascii="Calibri" w:cs="Calibri" w:eastAsia="Calibri" w:hAnsi="Calibri"/>
          <w:sz w:val="18"/>
          <w:szCs w:val="18"/>
          <w:color w:val="auto"/>
        </w:rPr>
        <w:t>whilst in the case of sub-paragraphs (i) and (ii) above the circumstance giving rise to the requirement for that increase or indemnifcaton contnues; or</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248"/>
        </w:numPr>
        <w:rPr>
          <w:rFonts w:ascii="Calibri" w:cs="Calibri" w:eastAsia="Calibri" w:hAnsi="Calibri"/>
          <w:sz w:val="18"/>
          <w:szCs w:val="18"/>
          <w:color w:val="auto"/>
        </w:rPr>
      </w:pPr>
      <w:r>
        <w:rPr>
          <w:rFonts w:ascii="Calibri" w:cs="Calibri" w:eastAsia="Calibri" w:hAnsi="Calibri"/>
          <w:sz w:val="18"/>
          <w:szCs w:val="18"/>
          <w:color w:val="auto"/>
        </w:rPr>
        <w:t>whilst in the case of sub-paragraph (iii) above the situaton in relaton to the Relevant Lender contnues,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give the Agent notce of cancellaton of the Commitment of that Lender and its intenton to procure the repayment of that Lender's partcipaton in the Loan.</w:t>
      </w:r>
    </w:p>
    <w:p>
      <w:pPr>
        <w:spacing w:after="0" w:line="184" w:lineRule="exact"/>
        <w:rPr>
          <w:sz w:val="20"/>
          <w:szCs w:val="20"/>
          <w:color w:val="auto"/>
        </w:rPr>
      </w:pPr>
    </w:p>
    <w:p>
      <w:pPr>
        <w:ind w:left="580" w:hanging="580"/>
        <w:spacing w:after="0"/>
        <w:tabs>
          <w:tab w:leader="none" w:pos="580" w:val="left"/>
        </w:tabs>
        <w:numPr>
          <w:ilvl w:val="0"/>
          <w:numId w:val="249"/>
        </w:numPr>
        <w:rPr>
          <w:rFonts w:ascii="Calibri" w:cs="Calibri" w:eastAsia="Calibri" w:hAnsi="Calibri"/>
          <w:sz w:val="18"/>
          <w:szCs w:val="18"/>
          <w:color w:val="auto"/>
        </w:rPr>
      </w:pPr>
      <w:r>
        <w:rPr>
          <w:rFonts w:ascii="Calibri" w:cs="Calibri" w:eastAsia="Calibri" w:hAnsi="Calibri"/>
          <w:sz w:val="18"/>
          <w:szCs w:val="18"/>
          <w:color w:val="auto"/>
        </w:rPr>
        <w:t>On receipt of a notce of cancellaton referred to in paragraph (a) above, the Commitment of that Lender shall immediately be reduced to zero.</w:t>
      </w:r>
    </w:p>
    <w:p>
      <w:pPr>
        <w:spacing w:after="0" w:line="381" w:lineRule="exact"/>
        <w:rPr>
          <w:rFonts w:ascii="Calibri" w:cs="Calibri" w:eastAsia="Calibri" w:hAnsi="Calibri"/>
          <w:sz w:val="18"/>
          <w:szCs w:val="18"/>
          <w:color w:val="auto"/>
        </w:rPr>
      </w:pPr>
    </w:p>
    <w:p>
      <w:pPr>
        <w:jc w:val="both"/>
        <w:ind w:left="580" w:hanging="580"/>
        <w:spacing w:after="0"/>
        <w:tabs>
          <w:tab w:leader="none" w:pos="580" w:val="left"/>
        </w:tabs>
        <w:numPr>
          <w:ilvl w:val="0"/>
          <w:numId w:val="249"/>
        </w:numPr>
        <w:rPr>
          <w:rFonts w:ascii="Calibri" w:cs="Calibri" w:eastAsia="Calibri" w:hAnsi="Calibri"/>
          <w:sz w:val="18"/>
          <w:szCs w:val="18"/>
          <w:color w:val="auto"/>
        </w:rPr>
      </w:pPr>
      <w:r>
        <w:rPr>
          <w:rFonts w:ascii="Calibri" w:cs="Calibri" w:eastAsia="Calibri" w:hAnsi="Calibri"/>
          <w:sz w:val="18"/>
          <w:szCs w:val="18"/>
          <w:color w:val="auto"/>
        </w:rPr>
        <w:t>On the last day of each Interest Period which ends afer the Borrower have given notce of cancellaton under paragraph (a) above in relaton to a Lender (or, if earlier, the date specifed by the Borrower in that notce), the Borrower shall repay that Lender's partcipaton in the Loan.</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78" w:name="page179"/>
    <w:bookmarkEnd w:id="178"/>
    <w:p>
      <w:pPr>
        <w:spacing w:after="0"/>
        <w:tabs>
          <w:tab w:leader="none" w:pos="560" w:val="left"/>
        </w:tabs>
        <w:rPr>
          <w:sz w:val="20"/>
          <w:szCs w:val="20"/>
          <w:color w:val="auto"/>
        </w:rPr>
      </w:pPr>
      <w:r>
        <w:rPr>
          <w:rFonts w:ascii="Calibri" w:cs="Calibri" w:eastAsia="Calibri" w:hAnsi="Calibri"/>
          <w:sz w:val="18"/>
          <w:szCs w:val="18"/>
          <w:b w:val="1"/>
          <w:bCs w:val="1"/>
          <w:color w:val="auto"/>
        </w:rPr>
        <w:t>8.11</w:t>
        <w:tab/>
        <w:t>Amounts payable on prepayment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 prepayment shall be made together with accrued interest (and any other amount payable under Clause 21 or otherwise) in respect of the amount prepaid and, if the prepayment is not made on the last day of an Interest Period together with any sums payable under Clause 21.2 but without premium or penalty.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8.12</w:t>
        <w:tab/>
        <w:t>Applicaton of partal prepayment</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 xml:space="preserve">Each partal prepayment made pursuant to Clauses 8.4, 8.10, 15.2, 19.2 or 23.3, shall be applied between the Instalments and the Balloon Instalment </w:t>
      </w:r>
      <w:r>
        <w:rPr>
          <w:rFonts w:ascii="Calibri" w:cs="Calibri" w:eastAsia="Calibri" w:hAnsi="Calibri"/>
          <w:sz w:val="18"/>
          <w:szCs w:val="18"/>
          <w:i w:val="1"/>
          <w:iCs w:val="1"/>
          <w:color w:val="auto"/>
        </w:rPr>
        <w:t>pro rata</w:t>
      </w:r>
      <w:r>
        <w:rPr>
          <w:rFonts w:ascii="Calibri" w:cs="Calibri" w:eastAsia="Calibri" w:hAnsi="Calibri"/>
          <w:sz w:val="18"/>
          <w:szCs w:val="18"/>
          <w:color w:val="auto"/>
        </w:rPr>
        <w: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8.13</w:t>
        <w:tab/>
        <w:t>No reborrowing</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No amount prepaid or cancelled may be (re)borrowed.</w:t>
      </w:r>
    </w:p>
    <w:p>
      <w:pPr>
        <w:spacing w:after="0" w:line="181" w:lineRule="exact"/>
        <w:rPr>
          <w:sz w:val="20"/>
          <w:szCs w:val="20"/>
          <w:color w:val="auto"/>
        </w:rPr>
      </w:pPr>
    </w:p>
    <w:p>
      <w:pPr>
        <w:ind w:left="580" w:hanging="580"/>
        <w:spacing w:after="0"/>
        <w:tabs>
          <w:tab w:leader="none" w:pos="580" w:val="left"/>
        </w:tabs>
        <w:numPr>
          <w:ilvl w:val="0"/>
          <w:numId w:val="25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CONDITIONS PRECEDENT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9.1</w:t>
      </w:r>
      <w:r>
        <w:rPr>
          <w:sz w:val="20"/>
          <w:szCs w:val="20"/>
          <w:color w:val="auto"/>
        </w:rPr>
        <w:tab/>
      </w:r>
      <w:r>
        <w:rPr>
          <w:rFonts w:ascii="Calibri" w:cs="Calibri" w:eastAsia="Calibri" w:hAnsi="Calibri"/>
          <w:sz w:val="18"/>
          <w:szCs w:val="18"/>
          <w:b w:val="1"/>
          <w:bCs w:val="1"/>
          <w:color w:val="auto"/>
        </w:rPr>
        <w:t>Documents, fees and no default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Each Lender's obligaton to contribute to the Loan is subject to the following conditons precedent:</w:t>
      </w:r>
    </w:p>
    <w:p>
      <w:pPr>
        <w:spacing w:after="0" w:line="181" w:lineRule="exact"/>
        <w:rPr>
          <w:sz w:val="20"/>
          <w:szCs w:val="20"/>
          <w:color w:val="auto"/>
        </w:rPr>
      </w:pPr>
    </w:p>
    <w:p>
      <w:pPr>
        <w:ind w:left="580" w:hanging="580"/>
        <w:spacing w:after="0"/>
        <w:tabs>
          <w:tab w:leader="none" w:pos="580" w:val="left"/>
        </w:tabs>
        <w:numPr>
          <w:ilvl w:val="0"/>
          <w:numId w:val="251"/>
        </w:numPr>
        <w:rPr>
          <w:rFonts w:ascii="Calibri" w:cs="Calibri" w:eastAsia="Calibri" w:hAnsi="Calibri"/>
          <w:sz w:val="18"/>
          <w:szCs w:val="18"/>
          <w:color w:val="auto"/>
        </w:rPr>
      </w:pPr>
      <w:r>
        <w:rPr>
          <w:rFonts w:ascii="Calibri" w:cs="Calibri" w:eastAsia="Calibri" w:hAnsi="Calibri"/>
          <w:sz w:val="18"/>
          <w:szCs w:val="18"/>
          <w:color w:val="auto"/>
        </w:rPr>
        <w:t>that, on or before the service of the Drawdown Notce, the Agent receives: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the documents described in Part A of Schedule 3 in form and substance satsfactory to the Agent and its lawyers;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payment in full of any fees payable by the Borrower pursuant to Clause 20.1 which are due and payable on or before the Drawdown Date;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51"/>
        </w:numPr>
        <w:rPr>
          <w:rFonts w:ascii="Calibri" w:cs="Calibri" w:eastAsia="Calibri" w:hAnsi="Calibri"/>
          <w:sz w:val="18"/>
          <w:szCs w:val="18"/>
          <w:color w:val="auto"/>
        </w:rPr>
      </w:pPr>
      <w:r>
        <w:rPr>
          <w:rFonts w:ascii="Calibri" w:cs="Calibri" w:eastAsia="Calibri" w:hAnsi="Calibri"/>
          <w:sz w:val="18"/>
          <w:szCs w:val="18"/>
          <w:color w:val="auto"/>
        </w:rPr>
        <w:t>that, on the Drawdown Date but prior to the making of the Loan, the Agent receives:</w:t>
      </w:r>
    </w:p>
    <w:p>
      <w:pPr>
        <w:spacing w:after="0" w:line="183" w:lineRule="exact"/>
        <w:rPr>
          <w:rFonts w:ascii="Calibri" w:cs="Calibri" w:eastAsia="Calibri" w:hAnsi="Calibri"/>
          <w:sz w:val="18"/>
          <w:szCs w:val="18"/>
          <w:color w:val="auto"/>
        </w:rPr>
      </w:pPr>
    </w:p>
    <w:p>
      <w:pPr>
        <w:jc w:val="both"/>
        <w:ind w:left="1180" w:hanging="591"/>
        <w:spacing w:after="0"/>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the documents described in Part B of Schedule 3 in form and substance satsfactory to the Agent and its lawyers save for any documents that the Agent agrees at the Borrower's request to receive afer any prepositoning of funds but before the disbursement of the Loan;</w:t>
      </w:r>
    </w:p>
    <w:p>
      <w:pPr>
        <w:spacing w:after="0" w:line="362"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payment in full of any fees payable by the Borrower pursuant to Clause 20.1 which are due and payable on or before the Drawdown Date;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payment of any expenses payable pursuant to Clause 20.2 which are due and payable on the Drawdown Date;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51"/>
        </w:numPr>
        <w:rPr>
          <w:rFonts w:ascii="Calibri" w:cs="Calibri" w:eastAsia="Calibri" w:hAnsi="Calibri"/>
          <w:sz w:val="18"/>
          <w:szCs w:val="18"/>
          <w:color w:val="auto"/>
        </w:rPr>
      </w:pPr>
      <w:r>
        <w:rPr>
          <w:rFonts w:ascii="Calibri" w:cs="Calibri" w:eastAsia="Calibri" w:hAnsi="Calibri"/>
          <w:sz w:val="18"/>
          <w:szCs w:val="18"/>
          <w:color w:val="auto"/>
        </w:rPr>
        <w:t>that both at the date of the Drawdown Notce and at the Drawdown Date and, if applicable, the date on which the Loan is disbursed: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no Event of Default or Potental Event of Default has occurred or would result from the borrowing of the Loan;</w:t>
      </w:r>
    </w:p>
    <w:p>
      <w:pPr>
        <w:spacing w:after="0" w:line="183" w:lineRule="exact"/>
        <w:rPr>
          <w:rFonts w:ascii="Calibri" w:cs="Calibri" w:eastAsia="Calibri" w:hAnsi="Calibri"/>
          <w:sz w:val="18"/>
          <w:szCs w:val="18"/>
          <w:color w:val="auto"/>
        </w:rPr>
      </w:pPr>
    </w:p>
    <w:p>
      <w:pPr>
        <w:jc w:val="both"/>
        <w:ind w:left="1180" w:hanging="591"/>
        <w:spacing w:after="0" w:line="225" w:lineRule="auto"/>
        <w:tabs>
          <w:tab w:leader="none" w:pos="1180" w:val="left"/>
        </w:tabs>
        <w:numPr>
          <w:ilvl w:val="1"/>
          <w:numId w:val="251"/>
        </w:numPr>
        <w:rPr>
          <w:rFonts w:ascii="Calibri" w:cs="Calibri" w:eastAsia="Calibri" w:hAnsi="Calibri"/>
          <w:sz w:val="18"/>
          <w:szCs w:val="18"/>
          <w:color w:val="auto"/>
        </w:rPr>
      </w:pPr>
      <w:r>
        <w:rPr>
          <w:rFonts w:ascii="Calibri" w:cs="Calibri" w:eastAsia="Calibri" w:hAnsi="Calibri"/>
          <w:sz w:val="18"/>
          <w:szCs w:val="18"/>
          <w:color w:val="auto"/>
        </w:rPr>
        <w:t>the representatons and warrantes in Clause 10 and those of the Borrower or any Security Party or any Approved Manager which are set out in the other Finance Documents would be true and not misleading if repeated on each of those dates with reference to the circumstances then existng;</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79" w:name="page180"/>
    <w:bookmarkEnd w:id="179"/>
    <w:p>
      <w:pPr>
        <w:ind w:left="1180" w:hanging="591"/>
        <w:spacing w:after="0"/>
        <w:tabs>
          <w:tab w:leader="none" w:pos="1180" w:val="left"/>
        </w:tabs>
        <w:numPr>
          <w:ilvl w:val="1"/>
          <w:numId w:val="252"/>
        </w:numPr>
        <w:rPr>
          <w:rFonts w:ascii="Calibri" w:cs="Calibri" w:eastAsia="Calibri" w:hAnsi="Calibri"/>
          <w:sz w:val="18"/>
          <w:szCs w:val="18"/>
          <w:color w:val="auto"/>
        </w:rPr>
      </w:pPr>
      <w:r>
        <w:rPr>
          <w:rFonts w:ascii="Calibri" w:cs="Calibri" w:eastAsia="Calibri" w:hAnsi="Calibri"/>
          <w:sz w:val="18"/>
          <w:szCs w:val="18"/>
          <w:color w:val="auto"/>
        </w:rPr>
        <w:t>none of the circumstances contemplated by Clause 5.6 has occurred and is contnuing;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52"/>
        </w:numPr>
        <w:rPr>
          <w:rFonts w:ascii="Calibri" w:cs="Calibri" w:eastAsia="Calibri" w:hAnsi="Calibri"/>
          <w:sz w:val="18"/>
          <w:szCs w:val="18"/>
          <w:color w:val="auto"/>
        </w:rPr>
      </w:pPr>
      <w:r>
        <w:rPr>
          <w:rFonts w:ascii="Calibri" w:cs="Calibri" w:eastAsia="Calibri" w:hAnsi="Calibri"/>
          <w:sz w:val="18"/>
          <w:szCs w:val="18"/>
          <w:color w:val="auto"/>
        </w:rPr>
        <w:t>there has been no Material Adverse Change;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53"/>
        </w:numPr>
        <w:rPr>
          <w:rFonts w:ascii="Calibri" w:cs="Calibri" w:eastAsia="Calibri" w:hAnsi="Calibri"/>
          <w:sz w:val="18"/>
          <w:szCs w:val="18"/>
          <w:color w:val="auto"/>
        </w:rPr>
      </w:pPr>
      <w:r>
        <w:rPr>
          <w:rFonts w:ascii="Calibri" w:cs="Calibri" w:eastAsia="Calibri" w:hAnsi="Calibri"/>
          <w:sz w:val="18"/>
          <w:szCs w:val="18"/>
          <w:color w:val="auto"/>
        </w:rPr>
        <w:t>that, if the Security Cover Rato was tested immediately following the making of the Loan, the Borrower would not be obliged to provide additonal security or prepay part of the Loan under that Clause 15.1; and</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53"/>
        </w:numPr>
        <w:rPr>
          <w:rFonts w:ascii="Calibri" w:cs="Calibri" w:eastAsia="Calibri" w:hAnsi="Calibri"/>
          <w:sz w:val="18"/>
          <w:szCs w:val="18"/>
          <w:color w:val="auto"/>
        </w:rPr>
      </w:pPr>
      <w:r>
        <w:rPr>
          <w:rFonts w:ascii="Calibri" w:cs="Calibri" w:eastAsia="Calibri" w:hAnsi="Calibri"/>
          <w:sz w:val="18"/>
          <w:szCs w:val="18"/>
          <w:color w:val="auto"/>
        </w:rPr>
        <w:t>that the Agent has received, and found to be acceptable to it, any further opinions, consents, agreements and documents in connecton with the Finance Documents which the Agent may, with the authorisaton of the Majority Lenders, request by notce to the Borrower prior to the Drawdown Date.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9.2</w:t>
      </w:r>
      <w:r>
        <w:rPr>
          <w:sz w:val="20"/>
          <w:szCs w:val="20"/>
          <w:color w:val="auto"/>
        </w:rPr>
        <w:tab/>
      </w:r>
      <w:r>
        <w:rPr>
          <w:rFonts w:ascii="Calibri" w:cs="Calibri" w:eastAsia="Calibri" w:hAnsi="Calibri"/>
          <w:sz w:val="18"/>
          <w:szCs w:val="18"/>
          <w:b w:val="1"/>
          <w:bCs w:val="1"/>
          <w:color w:val="auto"/>
        </w:rPr>
        <w:t>Waiver of conditons precedent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If the Majority Lenders, at their discreton, permit the Loan to be borrowed before certain of the conditons referred to in Clause 9.1 are satsfed, the Borrower shall ensure that those conditons are satsfed within 5 Business Days afer the Drawdown Date (or such longer period as the Agent may, with the authorisaton of the Majority Lenders, specify).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9.3</w:t>
      </w:r>
      <w:r>
        <w:rPr>
          <w:sz w:val="20"/>
          <w:szCs w:val="20"/>
          <w:color w:val="auto"/>
        </w:rPr>
        <w:tab/>
      </w:r>
      <w:r>
        <w:rPr>
          <w:rFonts w:ascii="Calibri" w:cs="Calibri" w:eastAsia="Calibri" w:hAnsi="Calibri"/>
          <w:sz w:val="18"/>
          <w:szCs w:val="18"/>
          <w:b w:val="1"/>
          <w:bCs w:val="1"/>
          <w:color w:val="auto"/>
        </w:rPr>
        <w:t>Conditons Subsequent</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use its best endeavours to deliver or cause to be delivered to the Agent within 10 Business Days afer the Drawdown Date, the additonal documents and other evidence listed in Part C of Schedule 3 in form and substance satsfactory to the Agent.</w:t>
      </w:r>
    </w:p>
    <w:p>
      <w:pPr>
        <w:spacing w:after="0" w:line="182" w:lineRule="exact"/>
        <w:rPr>
          <w:sz w:val="20"/>
          <w:szCs w:val="20"/>
          <w:color w:val="auto"/>
        </w:rPr>
      </w:pPr>
    </w:p>
    <w:p>
      <w:pPr>
        <w:ind w:left="580" w:hanging="580"/>
        <w:spacing w:after="0"/>
        <w:tabs>
          <w:tab w:leader="none" w:pos="580" w:val="left"/>
        </w:tabs>
        <w:numPr>
          <w:ilvl w:val="0"/>
          <w:numId w:val="25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REPRESENTATIONS AND WARRANTIES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25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1" w:lineRule="exact"/>
        <w:rPr>
          <w:rFonts w:ascii="Calibri" w:cs="Calibri" w:eastAsia="Calibri" w:hAnsi="Calibri"/>
          <w:sz w:val="18"/>
          <w:szCs w:val="18"/>
          <w:b w:val="1"/>
          <w:bCs w:val="1"/>
          <w:color w:val="auto"/>
        </w:rPr>
      </w:pPr>
    </w:p>
    <w:p>
      <w:pPr>
        <w:ind w:left="600"/>
        <w:spacing w:after="0"/>
        <w:rPr>
          <w:rFonts w:ascii="Calibri" w:cs="Calibri" w:eastAsia="Calibri" w:hAnsi="Calibri"/>
          <w:sz w:val="18"/>
          <w:szCs w:val="18"/>
          <w:b w:val="1"/>
          <w:bCs w:val="1"/>
          <w:color w:val="auto"/>
        </w:rPr>
      </w:pPr>
      <w:r>
        <w:rPr>
          <w:rFonts w:ascii="Calibri" w:cs="Calibri" w:eastAsia="Calibri" w:hAnsi="Calibri"/>
          <w:sz w:val="18"/>
          <w:szCs w:val="18"/>
          <w:color w:val="auto"/>
        </w:rPr>
        <w:t>The Borrower represents and warrants to each Creditor Party as follows.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10.2</w:t>
        <w:tab/>
        <w:t>Status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is a limited partnership (comprised of a single general partner and multple limited partners) formed and validly existng and in good standing under the laws of the Republic of Marshall Islands.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10.3</w:t>
        <w:tab/>
        <w:t>Partnership interests and ownership</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Borrower's partnership interests consist of 15,676,365 common units held by third-party unitholders, 4,175,007 common units held by Capital Maritme &amp; Trading Corp., 348,570 general partner units.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10.4</w:t>
        <w:tab/>
        <w:t>Power</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Borrower or, as the case may be, the Owner has the capacity, and has taken all acton and obtained all consents necessary for it:</w:t>
      </w:r>
    </w:p>
    <w:p>
      <w:pPr>
        <w:spacing w:after="0" w:line="183" w:lineRule="exact"/>
        <w:rPr>
          <w:sz w:val="20"/>
          <w:szCs w:val="20"/>
          <w:color w:val="auto"/>
        </w:rPr>
      </w:pPr>
    </w:p>
    <w:p>
      <w:pPr>
        <w:ind w:left="580" w:hanging="580"/>
        <w:spacing w:after="0" w:line="228" w:lineRule="auto"/>
        <w:tabs>
          <w:tab w:leader="none" w:pos="580" w:val="left"/>
        </w:tabs>
        <w:numPr>
          <w:ilvl w:val="0"/>
          <w:numId w:val="256"/>
        </w:numPr>
        <w:rPr>
          <w:rFonts w:ascii="Calibri" w:cs="Calibri" w:eastAsia="Calibri" w:hAnsi="Calibri"/>
          <w:sz w:val="18"/>
          <w:szCs w:val="18"/>
          <w:color w:val="auto"/>
        </w:rPr>
      </w:pPr>
      <w:r>
        <w:rPr>
          <w:rFonts w:ascii="Calibri" w:cs="Calibri" w:eastAsia="Calibri" w:hAnsi="Calibri"/>
          <w:sz w:val="18"/>
          <w:szCs w:val="18"/>
          <w:color w:val="auto"/>
        </w:rPr>
        <w:t>in the case of the Owner, to execute the Underlying Documents to which it is a party and to register the Ship in its ownership under the applicable Approved Flag;</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56"/>
        </w:numPr>
        <w:rPr>
          <w:rFonts w:ascii="Calibri" w:cs="Calibri" w:eastAsia="Calibri" w:hAnsi="Calibri"/>
          <w:sz w:val="18"/>
          <w:szCs w:val="18"/>
          <w:color w:val="auto"/>
        </w:rPr>
      </w:pPr>
      <w:r>
        <w:rPr>
          <w:rFonts w:ascii="Calibri" w:cs="Calibri" w:eastAsia="Calibri" w:hAnsi="Calibri"/>
          <w:sz w:val="18"/>
          <w:szCs w:val="18"/>
          <w:color w:val="auto"/>
        </w:rPr>
        <w:t>to execute the Finance Documents to which the Borrower is a party;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80" w:name="page181"/>
    <w:bookmarkEnd w:id="180"/>
    <w:p>
      <w:pPr>
        <w:ind w:left="580" w:hanging="580"/>
        <w:spacing w:after="0" w:line="228" w:lineRule="auto"/>
        <w:tabs>
          <w:tab w:leader="none" w:pos="580" w:val="left"/>
        </w:tabs>
        <w:numPr>
          <w:ilvl w:val="0"/>
          <w:numId w:val="257"/>
        </w:numPr>
        <w:rPr>
          <w:rFonts w:ascii="Calibri" w:cs="Calibri" w:eastAsia="Calibri" w:hAnsi="Calibri"/>
          <w:sz w:val="18"/>
          <w:szCs w:val="18"/>
          <w:color w:val="auto"/>
        </w:rPr>
      </w:pPr>
      <w:r>
        <w:rPr>
          <w:rFonts w:ascii="Calibri" w:cs="Calibri" w:eastAsia="Calibri" w:hAnsi="Calibri"/>
          <w:sz w:val="18"/>
          <w:szCs w:val="18"/>
          <w:color w:val="auto"/>
        </w:rPr>
        <w:t>in the case of the Borrower, to borrow under this Agreement and, in the case of the Borrower and/or the Owner, to make all the payments contemplated by, and to comply with, those Finance Documents to which it is a party.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10.5</w:t>
        <w:tab/>
        <w:t>Consents in force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All the consents referred to in Clause 10.4 remain in force and nothing has occurred which makes any of them liable to revocaton.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10.6</w:t>
        <w:tab/>
        <w:t>Legal validity; efectve Security Interests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Finance Documents to which the Borrower is a party, do now or, as the case may be, will, upon executon and delivery (and, where applicable, registraton as provided for in the Finance Documents):</w:t>
      </w:r>
    </w:p>
    <w:p>
      <w:pPr>
        <w:spacing w:after="0" w:line="184" w:lineRule="exact"/>
        <w:rPr>
          <w:sz w:val="20"/>
          <w:szCs w:val="20"/>
          <w:color w:val="auto"/>
        </w:rPr>
      </w:pPr>
    </w:p>
    <w:p>
      <w:pPr>
        <w:ind w:left="580" w:hanging="580"/>
        <w:spacing w:after="0"/>
        <w:tabs>
          <w:tab w:leader="none" w:pos="580" w:val="left"/>
        </w:tabs>
        <w:numPr>
          <w:ilvl w:val="0"/>
          <w:numId w:val="258"/>
        </w:numPr>
        <w:rPr>
          <w:rFonts w:ascii="Calibri" w:cs="Calibri" w:eastAsia="Calibri" w:hAnsi="Calibri"/>
          <w:sz w:val="18"/>
          <w:szCs w:val="18"/>
          <w:color w:val="auto"/>
        </w:rPr>
      </w:pPr>
      <w:r>
        <w:rPr>
          <w:rFonts w:ascii="Calibri" w:cs="Calibri" w:eastAsia="Calibri" w:hAnsi="Calibri"/>
          <w:sz w:val="18"/>
          <w:szCs w:val="18"/>
          <w:color w:val="auto"/>
        </w:rPr>
        <w:t>consttute the Borrower's legal, valid and binding obligatons enforceable against the Borrower in accordance with their respectve terms; and</w:t>
      </w:r>
    </w:p>
    <w:p>
      <w:pPr>
        <w:spacing w:after="0" w:line="381"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58"/>
        </w:numPr>
        <w:rPr>
          <w:rFonts w:ascii="Calibri" w:cs="Calibri" w:eastAsia="Calibri" w:hAnsi="Calibri"/>
          <w:sz w:val="18"/>
          <w:szCs w:val="18"/>
          <w:color w:val="auto"/>
        </w:rPr>
      </w:pPr>
      <w:r>
        <w:rPr>
          <w:rFonts w:ascii="Calibri" w:cs="Calibri" w:eastAsia="Calibri" w:hAnsi="Calibri"/>
          <w:sz w:val="18"/>
          <w:szCs w:val="18"/>
          <w:color w:val="auto"/>
        </w:rPr>
        <w:t>create legal, valid and binding Security Interests (having the priority specifed in the relevant Finance Document) enforceable in accordance with their respectve terms over all the assets to which they, by their terms, relate,</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subject to any relevant insolvency laws afectng creditors' rights generally.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10.7</w:t>
        <w:tab/>
        <w:t>No third party Security Interests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Without limitng the generality of Clause 10.6, at the tme of the executon and delivery of each Finance Document to which the Borrower is</w:t>
      </w:r>
    </w:p>
    <w:p>
      <w:pPr>
        <w:ind w:left="600"/>
        <w:spacing w:after="0" w:line="218" w:lineRule="auto"/>
        <w:rPr>
          <w:sz w:val="20"/>
          <w:szCs w:val="20"/>
          <w:color w:val="auto"/>
        </w:rPr>
      </w:pPr>
      <w:r>
        <w:rPr>
          <w:rFonts w:ascii="Calibri" w:cs="Calibri" w:eastAsia="Calibri" w:hAnsi="Calibri"/>
          <w:sz w:val="18"/>
          <w:szCs w:val="18"/>
          <w:color w:val="auto"/>
        </w:rPr>
        <w:t>a party:</w:t>
      </w:r>
    </w:p>
    <w:p>
      <w:pPr>
        <w:spacing w:after="0" w:line="181" w:lineRule="exact"/>
        <w:rPr>
          <w:sz w:val="20"/>
          <w:szCs w:val="20"/>
          <w:color w:val="auto"/>
        </w:rPr>
      </w:pPr>
    </w:p>
    <w:p>
      <w:pPr>
        <w:ind w:left="580" w:hanging="580"/>
        <w:spacing w:after="0"/>
        <w:tabs>
          <w:tab w:leader="none" w:pos="580" w:val="left"/>
        </w:tabs>
        <w:numPr>
          <w:ilvl w:val="0"/>
          <w:numId w:val="259"/>
        </w:numPr>
        <w:rPr>
          <w:rFonts w:ascii="Calibri" w:cs="Calibri" w:eastAsia="Calibri" w:hAnsi="Calibri"/>
          <w:sz w:val="18"/>
          <w:szCs w:val="18"/>
          <w:color w:val="auto"/>
        </w:rPr>
      </w:pPr>
      <w:r>
        <w:rPr>
          <w:rFonts w:ascii="Calibri" w:cs="Calibri" w:eastAsia="Calibri" w:hAnsi="Calibri"/>
          <w:sz w:val="18"/>
          <w:szCs w:val="18"/>
          <w:color w:val="auto"/>
        </w:rPr>
        <w:t>the Borrower will have the right to create all the Security Interests which that Finance Document purports to create;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59"/>
        </w:numPr>
        <w:rPr>
          <w:rFonts w:ascii="Calibri" w:cs="Calibri" w:eastAsia="Calibri" w:hAnsi="Calibri"/>
          <w:sz w:val="18"/>
          <w:szCs w:val="18"/>
          <w:color w:val="auto"/>
        </w:rPr>
      </w:pPr>
      <w:r>
        <w:rPr>
          <w:rFonts w:ascii="Calibri" w:cs="Calibri" w:eastAsia="Calibri" w:hAnsi="Calibri"/>
          <w:sz w:val="18"/>
          <w:szCs w:val="18"/>
          <w:color w:val="auto"/>
        </w:rPr>
        <w:t>no third party will have any Security Interest (except for Permited Security Interests) or any other interest, right or claim over, in or in relaton to any asset to which any such Security Interest, by its terms, relates.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10.8</w:t>
        <w:tab/>
        <w:t>No conficts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executon by the Borrower and each Security Party of each Finance Document and each Underlying Document to which it is a party, and the borrowing by the Borrower of the Loan (or any part thereof), and its compliance with each Finance Document and each Underlying Document to which it is a party:</w:t>
      </w:r>
    </w:p>
    <w:p>
      <w:pPr>
        <w:spacing w:after="0" w:line="182" w:lineRule="exact"/>
        <w:rPr>
          <w:sz w:val="20"/>
          <w:szCs w:val="20"/>
          <w:color w:val="auto"/>
        </w:rPr>
      </w:pPr>
    </w:p>
    <w:p>
      <w:pPr>
        <w:ind w:left="580" w:hanging="580"/>
        <w:spacing w:after="0"/>
        <w:tabs>
          <w:tab w:leader="none" w:pos="580" w:val="left"/>
        </w:tabs>
        <w:numPr>
          <w:ilvl w:val="0"/>
          <w:numId w:val="260"/>
        </w:numPr>
        <w:rPr>
          <w:rFonts w:ascii="Calibri" w:cs="Calibri" w:eastAsia="Calibri" w:hAnsi="Calibri"/>
          <w:sz w:val="18"/>
          <w:szCs w:val="18"/>
          <w:color w:val="auto"/>
        </w:rPr>
      </w:pPr>
      <w:r>
        <w:rPr>
          <w:rFonts w:ascii="Calibri" w:cs="Calibri" w:eastAsia="Calibri" w:hAnsi="Calibri"/>
          <w:sz w:val="18"/>
          <w:szCs w:val="18"/>
          <w:color w:val="auto"/>
        </w:rPr>
        <w:t>will not involve or lead to a contraventon of:</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60"/>
        </w:numPr>
        <w:rPr>
          <w:rFonts w:ascii="Calibri" w:cs="Calibri" w:eastAsia="Calibri" w:hAnsi="Calibri"/>
          <w:sz w:val="18"/>
          <w:szCs w:val="18"/>
          <w:color w:val="auto"/>
        </w:rPr>
      </w:pPr>
      <w:r>
        <w:rPr>
          <w:rFonts w:ascii="Calibri" w:cs="Calibri" w:eastAsia="Calibri" w:hAnsi="Calibri"/>
          <w:sz w:val="18"/>
          <w:szCs w:val="18"/>
          <w:color w:val="auto"/>
        </w:rPr>
        <w:t>any law or regulaton;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60"/>
        </w:numPr>
        <w:rPr>
          <w:rFonts w:ascii="Calibri" w:cs="Calibri" w:eastAsia="Calibri" w:hAnsi="Calibri"/>
          <w:sz w:val="18"/>
          <w:szCs w:val="18"/>
          <w:color w:val="auto"/>
        </w:rPr>
      </w:pPr>
      <w:r>
        <w:rPr>
          <w:rFonts w:ascii="Calibri" w:cs="Calibri" w:eastAsia="Calibri" w:hAnsi="Calibri"/>
          <w:sz w:val="18"/>
          <w:szCs w:val="18"/>
          <w:color w:val="auto"/>
        </w:rPr>
        <w:t>the consttutonal documents of the Borrower or any Security Party;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60"/>
        </w:numPr>
        <w:rPr>
          <w:rFonts w:ascii="Calibri" w:cs="Calibri" w:eastAsia="Calibri" w:hAnsi="Calibri"/>
          <w:sz w:val="18"/>
          <w:szCs w:val="18"/>
          <w:color w:val="auto"/>
        </w:rPr>
      </w:pPr>
      <w:r>
        <w:rPr>
          <w:rFonts w:ascii="Calibri" w:cs="Calibri" w:eastAsia="Calibri" w:hAnsi="Calibri"/>
          <w:sz w:val="18"/>
          <w:szCs w:val="18"/>
          <w:color w:val="auto"/>
        </w:rPr>
        <w:t>any contractual or other obligaton or restricton which is binding on the Borrower or any Security Party or any of its assets,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60"/>
        </w:numPr>
        <w:rPr>
          <w:rFonts w:ascii="Calibri" w:cs="Calibri" w:eastAsia="Calibri" w:hAnsi="Calibri"/>
          <w:sz w:val="18"/>
          <w:szCs w:val="18"/>
          <w:color w:val="auto"/>
        </w:rPr>
      </w:pPr>
      <w:r>
        <w:rPr>
          <w:rFonts w:ascii="Calibri" w:cs="Calibri" w:eastAsia="Calibri" w:hAnsi="Calibri"/>
          <w:sz w:val="18"/>
          <w:szCs w:val="18"/>
          <w:color w:val="auto"/>
        </w:rPr>
        <w:t>will not have a Material Adverse Efect;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81" w:name="page182"/>
    <w:bookmarkEnd w:id="181"/>
    <w:p>
      <w:pPr>
        <w:ind w:left="580" w:hanging="580"/>
        <w:spacing w:after="0"/>
        <w:tabs>
          <w:tab w:leader="none" w:pos="580" w:val="left"/>
        </w:tabs>
        <w:numPr>
          <w:ilvl w:val="0"/>
          <w:numId w:val="261"/>
        </w:numPr>
        <w:rPr>
          <w:rFonts w:ascii="Calibri" w:cs="Calibri" w:eastAsia="Calibri" w:hAnsi="Calibri"/>
          <w:sz w:val="18"/>
          <w:szCs w:val="18"/>
          <w:color w:val="auto"/>
        </w:rPr>
      </w:pPr>
      <w:r>
        <w:rPr>
          <w:rFonts w:ascii="Calibri" w:cs="Calibri" w:eastAsia="Calibri" w:hAnsi="Calibri"/>
          <w:sz w:val="18"/>
          <w:szCs w:val="18"/>
          <w:color w:val="auto"/>
        </w:rPr>
        <w:t>is for the corporate beneft of the Borrower or the relevant Security Party.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10.9</w:t>
        <w:tab/>
        <w:t>No withholding taxes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All payments which the Borrower is liable to make under the Finance Documents to which it is a party may be made without deducton or withholding for or on account of any tax payable under any law of any Pertnent Jurisdicton.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10.10</w:t>
        <w:tab/>
        <w:t>No default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No Event of Default or Potental Event of Default has occurred.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10.11</w:t>
        <w:tab/>
        <w:t>Informaton</w:t>
      </w:r>
    </w:p>
    <w:p>
      <w:pPr>
        <w:spacing w:after="0" w:line="183" w:lineRule="exact"/>
        <w:rPr>
          <w:sz w:val="20"/>
          <w:szCs w:val="20"/>
          <w:color w:val="auto"/>
        </w:rPr>
      </w:pPr>
    </w:p>
    <w:p>
      <w:pPr>
        <w:jc w:val="both"/>
        <w:ind w:left="600"/>
        <w:spacing w:after="0" w:line="221" w:lineRule="auto"/>
        <w:rPr>
          <w:sz w:val="20"/>
          <w:szCs w:val="20"/>
          <w:color w:val="auto"/>
        </w:rPr>
      </w:pPr>
      <w:r>
        <w:rPr>
          <w:rFonts w:ascii="Calibri" w:cs="Calibri" w:eastAsia="Calibri" w:hAnsi="Calibri"/>
          <w:sz w:val="18"/>
          <w:szCs w:val="18"/>
          <w:color w:val="auto"/>
        </w:rPr>
        <w:t>All informaton which has been provided in writng by or on behalf of the Borrower or any Security Party or, to the best of the Borrower's knowledge by or on behalf of any Approved Manager who is not a member of the Group, to any Creditor Party in connecton with any Finance Document satsfed the requirements of Clause 11.5; all audited and unaudited accounts and fnancial statements which have been so provided satsfed the requirements of Clause 11.7 and are true, correct and not misleading and present fairly and accurately the fnancial positon of the Borrower, the Owner or the Group (as the case may be); and there has been no change in the fnancial positon or state of afairs of the Borrower, the Owner or the Group (or any member thereof) from that disclosed in the latest of those accounts which is likely to have a Material Adverse Efect.</w:t>
      </w:r>
    </w:p>
    <w:p>
      <w:pPr>
        <w:spacing w:after="0" w:line="185"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10.12</w:t>
        <w:tab/>
        <w:t>No litgaton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No legal or administratve acton involving the Borrower or any Security Party or any Approved Manager (including acton relatng to any alleged or actual breach of the ISM Code or the ISPS Code) has been commenced or taken or, to the Borrower's knowledge, is likely to be commenced or taken which would, in either case, be likely to have a Material Adverse Efect.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10.13</w:t>
        <w:tab/>
        <w:t>Validity and completeness of Underlying Documents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Each Underlying Document consttutes valid, binding and enforceable obligatons of the partes thereto in accordance with its terms and:</w:t>
      </w:r>
    </w:p>
    <w:p>
      <w:pPr>
        <w:spacing w:after="0" w:line="181" w:lineRule="exact"/>
        <w:rPr>
          <w:sz w:val="20"/>
          <w:szCs w:val="20"/>
          <w:color w:val="auto"/>
        </w:rPr>
      </w:pPr>
    </w:p>
    <w:p>
      <w:pPr>
        <w:ind w:left="580" w:hanging="580"/>
        <w:spacing w:after="0"/>
        <w:tabs>
          <w:tab w:leader="none" w:pos="580" w:val="left"/>
        </w:tabs>
        <w:numPr>
          <w:ilvl w:val="0"/>
          <w:numId w:val="262"/>
        </w:numPr>
        <w:rPr>
          <w:rFonts w:ascii="Calibri" w:cs="Calibri" w:eastAsia="Calibri" w:hAnsi="Calibri"/>
          <w:sz w:val="18"/>
          <w:szCs w:val="18"/>
          <w:color w:val="auto"/>
        </w:rPr>
      </w:pPr>
      <w:r>
        <w:rPr>
          <w:rFonts w:ascii="Calibri" w:cs="Calibri" w:eastAsia="Calibri" w:hAnsi="Calibri"/>
          <w:sz w:val="18"/>
          <w:szCs w:val="18"/>
          <w:color w:val="auto"/>
        </w:rPr>
        <w:t>each of the copies of that Underlying Document delivered to the Agent before the date of this Agreement is a true and complete copy;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62"/>
        </w:numPr>
        <w:rPr>
          <w:rFonts w:ascii="Calibri" w:cs="Calibri" w:eastAsia="Calibri" w:hAnsi="Calibri"/>
          <w:sz w:val="18"/>
          <w:szCs w:val="18"/>
          <w:color w:val="auto"/>
        </w:rPr>
      </w:pPr>
      <w:r>
        <w:rPr>
          <w:rFonts w:ascii="Calibri" w:cs="Calibri" w:eastAsia="Calibri" w:hAnsi="Calibri"/>
          <w:sz w:val="18"/>
          <w:szCs w:val="18"/>
          <w:color w:val="auto"/>
        </w:rPr>
        <w:t>no amendments or additons to that Underlying Document have been agreed nor has any party which is a party to that Underlying Document, waived any of their respectve rights thereunder.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10.14</w:t>
        <w:tab/>
        <w:t>Compliance with certain undertakings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At the date of this Agreement, the Borrower is in compliance with Clauses 11.2, 11.4, 11.9, 11.13, 13, 14.3 and 14.10.</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10.15</w:t>
        <w:tab/>
        <w:t>Taxes paid</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has paid all taxes applicable to, or imposed on or in relaton to the Borrower and its business.</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82" w:name="page183"/>
    <w:bookmarkEnd w:id="182"/>
    <w:p>
      <w:pPr>
        <w:spacing w:after="0"/>
        <w:tabs>
          <w:tab w:leader="none" w:pos="560" w:val="left"/>
        </w:tabs>
        <w:rPr>
          <w:sz w:val="20"/>
          <w:szCs w:val="20"/>
          <w:color w:val="auto"/>
        </w:rPr>
      </w:pPr>
      <w:r>
        <w:rPr>
          <w:rFonts w:ascii="Calibri" w:cs="Calibri" w:eastAsia="Calibri" w:hAnsi="Calibri"/>
          <w:sz w:val="18"/>
          <w:szCs w:val="18"/>
          <w:b w:val="1"/>
          <w:bCs w:val="1"/>
          <w:color w:val="auto"/>
        </w:rPr>
        <w:t>10.16</w:t>
        <w:tab/>
        <w:t>ISM Code and ISPS Code compliance</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All requirements of the ISM Code and the ISPS Code as they relate to the Borrower, the Owner, an Approved Manager and the Ship have been complied with.</w:t>
      </w:r>
    </w:p>
    <w:p>
      <w:pPr>
        <w:spacing w:after="0" w:line="182" w:lineRule="exact"/>
        <w:rPr>
          <w:sz w:val="20"/>
          <w:szCs w:val="20"/>
          <w:color w:val="auto"/>
        </w:rPr>
      </w:pPr>
    </w:p>
    <w:p>
      <w:pPr>
        <w:jc w:val="center"/>
        <w:ind w:right="8960"/>
        <w:spacing w:after="0"/>
        <w:tabs>
          <w:tab w:leader="none" w:pos="140" w:val="left"/>
        </w:tabs>
        <w:rPr>
          <w:sz w:val="20"/>
          <w:szCs w:val="20"/>
          <w:color w:val="auto"/>
        </w:rPr>
      </w:pPr>
      <w:r>
        <w:rPr>
          <w:rFonts w:ascii="Calibri" w:cs="Calibri" w:eastAsia="Calibri" w:hAnsi="Calibri"/>
          <w:sz w:val="18"/>
          <w:szCs w:val="18"/>
          <w:b w:val="1"/>
          <w:bCs w:val="1"/>
          <w:color w:val="auto"/>
        </w:rPr>
        <w:t>10.17</w:t>
        <w:tab/>
        <w:t>No Money laundering</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w:t>
      </w:r>
    </w:p>
    <w:p>
      <w:pPr>
        <w:spacing w:after="0" w:line="183" w:lineRule="exact"/>
        <w:rPr>
          <w:sz w:val="20"/>
          <w:szCs w:val="20"/>
          <w:color w:val="auto"/>
        </w:rPr>
      </w:pPr>
    </w:p>
    <w:p>
      <w:pPr>
        <w:jc w:val="both"/>
        <w:ind w:left="580" w:hanging="580"/>
        <w:spacing w:after="0" w:line="222" w:lineRule="auto"/>
        <w:tabs>
          <w:tab w:leader="none" w:pos="580" w:val="left"/>
        </w:tabs>
        <w:numPr>
          <w:ilvl w:val="0"/>
          <w:numId w:val="263"/>
        </w:numPr>
        <w:rPr>
          <w:rFonts w:ascii="Calibri" w:cs="Calibri" w:eastAsia="Calibri" w:hAnsi="Calibri"/>
          <w:sz w:val="18"/>
          <w:szCs w:val="18"/>
          <w:color w:val="auto"/>
        </w:rPr>
      </w:pPr>
      <w:r>
        <w:rPr>
          <w:rFonts w:ascii="Calibri" w:cs="Calibri" w:eastAsia="Calibri" w:hAnsi="Calibri"/>
          <w:sz w:val="18"/>
          <w:szCs w:val="18"/>
          <w:color w:val="auto"/>
        </w:rPr>
        <w:t>will not, and will procure that no Security Party, to the extent applicable, will, in connecton with this Agreement or any of the other Finance Documents, contravene or permit any subsidiary to contravene, any law, ofcial requirement or other regulatory measure or procedure implemented to combat "money laundering" (as defned in Artcle 1 of Directve 2015/849/EC of the Council of the European Communites) and comparable United States Federal and state laws. The Borrower shall further submit any documents and declaratons on request, if such documents or declaratons are required by any Creditor Party to comply with its domestc money laundering and/or legal identfcaton requirements; and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63"/>
        </w:numPr>
        <w:rPr>
          <w:rFonts w:ascii="Calibri" w:cs="Calibri" w:eastAsia="Calibri" w:hAnsi="Calibri"/>
          <w:sz w:val="18"/>
          <w:szCs w:val="18"/>
          <w:color w:val="auto"/>
        </w:rPr>
      </w:pPr>
      <w:r>
        <w:rPr>
          <w:rFonts w:ascii="Calibri" w:cs="Calibri" w:eastAsia="Calibri" w:hAnsi="Calibri"/>
          <w:sz w:val="18"/>
          <w:szCs w:val="18"/>
          <w:color w:val="auto"/>
        </w:rPr>
        <w:t>confrms that it is the benefciary within the meaning of the German Ant Money Laundering Act (Gesetz über das Aufspüren von Gewinnen aus schweren Strafaten (Geldwäschegesetz)), actng for its own account and not for or on behalf of any other person for each part of the Loan made or to be made available to it under this Agreement. That is to say, it acts for its own account and not for or on behalf of anyone else.</w:t>
      </w:r>
    </w:p>
    <w:p>
      <w:pPr>
        <w:spacing w:after="0" w:line="34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will promptly inform the Agent by writen notce, if it is not or ceases to be the benefciary and will provide in writng the name and address of the benefciary.</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Agent shall promptly notfy the Lenders of any writen notce it receives under this Clause 10.17.</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10.18</w:t>
        <w:tab/>
        <w:t>No immunity</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Neither the Borrower nor any of its assets is enttled to immunity on grounds of sovereignty or otherwise from any legal acton or proceeding (including, without limitaton, suit, atachment prior to judgement, executon or other enforcement).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10.19</w:t>
        <w:tab/>
        <w:t>Corrupt Practces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It has observed and, to the best of its knowledge and belief, partes actng on its behalf have observed in the course of actng for it, all applicable laws and regulatons relatng to bribery and corrupt practces.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10.20</w:t>
        <w:tab/>
        <w:t>Choice of law</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choice of the laws of England to govern this Agreement and those other Finance Documents which are expressed to be governed by the laws of England, the laws of Germany to govern the Account Pledges and the laws of the applicable Approved Flag State to govern the Mortgages consttutes a valid choice of law and the submission by the Borrower or, as the case may be, the relevant Security Partes thereunder to the non-exclusive jurisdicton of the Courts of England and, in the case of the Account Pledges, Germany or, in the case of the Mortgages, the applicable Approved Flag State is a valid submission and does not contravene the laws of England or, in the case of the Account Pledges, Germany or, in the case of the Mortgage, the applicable Approved Flag State or the laws of any other Pertnent Jurisdicton,</w:t>
      </w:r>
    </w:p>
    <w:p>
      <w:pPr>
        <w:spacing w:after="0" w:line="284"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83" w:name="page184"/>
    <w:bookmarkEnd w:id="183"/>
    <w:p>
      <w:pPr>
        <w:jc w:val="both"/>
        <w:ind w:left="600"/>
        <w:spacing w:after="0" w:line="225" w:lineRule="auto"/>
        <w:rPr>
          <w:sz w:val="20"/>
          <w:szCs w:val="20"/>
          <w:color w:val="auto"/>
        </w:rPr>
      </w:pPr>
      <w:r>
        <w:rPr>
          <w:rFonts w:ascii="Calibri" w:cs="Calibri" w:eastAsia="Calibri" w:hAnsi="Calibri"/>
          <w:sz w:val="18"/>
          <w:szCs w:val="18"/>
          <w:color w:val="auto"/>
        </w:rPr>
        <w:t>will be applied by the courts of any Pertnent Jurisdicton if this Agreement or those other Finance Documents or any claim thereunder comes under their jurisdicton upon proof of the relevant provisions of the laws of England or, in the case of the Account Pledges, Germany or, in the case of the Mortgage, the applicable Approved Flag State.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10.21</w:t>
        <w:tab/>
        <w:t>Pari passu ranking</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obligatons of the Borrower and each Security Party under the Finance Documents to which it is a party are direct, general and unconditonal obligatons and rank at least pari passu with the claims of all its other unsecured and unsubordinated creditors except for obligatons mandatorily preferred by law applying to companies generally.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10.22</w:t>
        <w:tab/>
        <w:t>Sanctons</w:t>
      </w:r>
    </w:p>
    <w:p>
      <w:pPr>
        <w:spacing w:after="0" w:line="183" w:lineRule="exact"/>
        <w:rPr>
          <w:sz w:val="20"/>
          <w:szCs w:val="20"/>
          <w:color w:val="auto"/>
        </w:rPr>
      </w:pPr>
    </w:p>
    <w:p>
      <w:pPr>
        <w:jc w:val="both"/>
        <w:ind w:left="580" w:hanging="580"/>
        <w:spacing w:after="0" w:line="223" w:lineRule="auto"/>
        <w:tabs>
          <w:tab w:leader="none" w:pos="580" w:val="left"/>
        </w:tabs>
        <w:numPr>
          <w:ilvl w:val="0"/>
          <w:numId w:val="264"/>
        </w:numPr>
        <w:rPr>
          <w:rFonts w:ascii="Calibri" w:cs="Calibri" w:eastAsia="Calibri" w:hAnsi="Calibri"/>
          <w:sz w:val="18"/>
          <w:szCs w:val="18"/>
          <w:color w:val="auto"/>
        </w:rPr>
      </w:pPr>
      <w:r>
        <w:rPr>
          <w:rFonts w:ascii="Calibri" w:cs="Calibri" w:eastAsia="Calibri" w:hAnsi="Calibri"/>
          <w:sz w:val="18"/>
          <w:szCs w:val="18"/>
          <w:color w:val="auto"/>
        </w:rPr>
        <w:t>Neither the Borrower, nor any Security Party, nor any Approved Manager, nor any member of the Group or any of their respectve directors or ofcers or, to the Borrower's or the relevant Security Party's or any Approved Manager's, or the relevant member of the Group's best knowledge (afer due and careful inquiry), any of the Borrower's or such Security Party's or any Approved Manager's or such member of the Group’s employees, afliates, agents or representatves:</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264"/>
        </w:numPr>
        <w:rPr>
          <w:rFonts w:ascii="Calibri" w:cs="Calibri" w:eastAsia="Calibri" w:hAnsi="Calibri"/>
          <w:sz w:val="18"/>
          <w:szCs w:val="18"/>
          <w:color w:val="auto"/>
        </w:rPr>
      </w:pPr>
      <w:r>
        <w:rPr>
          <w:rFonts w:ascii="Calibri" w:cs="Calibri" w:eastAsia="Calibri" w:hAnsi="Calibri"/>
          <w:sz w:val="18"/>
          <w:szCs w:val="18"/>
          <w:color w:val="auto"/>
        </w:rPr>
        <w:t>is a Restricted Party;</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264"/>
        </w:numPr>
        <w:rPr>
          <w:rFonts w:ascii="Calibri" w:cs="Calibri" w:eastAsia="Calibri" w:hAnsi="Calibri"/>
          <w:sz w:val="18"/>
          <w:szCs w:val="18"/>
          <w:color w:val="auto"/>
        </w:rPr>
      </w:pPr>
      <w:r>
        <w:rPr>
          <w:rFonts w:ascii="Calibri" w:cs="Calibri" w:eastAsia="Calibri" w:hAnsi="Calibri"/>
          <w:sz w:val="18"/>
          <w:szCs w:val="18"/>
          <w:color w:val="auto"/>
        </w:rPr>
        <w:t>has been engaged in any transacton, actvity or conduct that could reasonably be expected to result in its becoming a Restricted Party;</w:t>
      </w:r>
    </w:p>
    <w:p>
      <w:pPr>
        <w:spacing w:after="0" w:line="379" w:lineRule="exact"/>
        <w:rPr>
          <w:rFonts w:ascii="Calibri" w:cs="Calibri" w:eastAsia="Calibri" w:hAnsi="Calibri"/>
          <w:sz w:val="18"/>
          <w:szCs w:val="18"/>
          <w:color w:val="auto"/>
        </w:rPr>
      </w:pPr>
    </w:p>
    <w:p>
      <w:pPr>
        <w:ind w:left="1180" w:hanging="591"/>
        <w:spacing w:after="0"/>
        <w:tabs>
          <w:tab w:leader="none" w:pos="1180" w:val="left"/>
        </w:tabs>
        <w:numPr>
          <w:ilvl w:val="1"/>
          <w:numId w:val="264"/>
        </w:numPr>
        <w:rPr>
          <w:rFonts w:ascii="Calibri" w:cs="Calibri" w:eastAsia="Calibri" w:hAnsi="Calibri"/>
          <w:sz w:val="18"/>
          <w:szCs w:val="18"/>
          <w:color w:val="auto"/>
        </w:rPr>
      </w:pPr>
      <w:r>
        <w:rPr>
          <w:rFonts w:ascii="Calibri" w:cs="Calibri" w:eastAsia="Calibri" w:hAnsi="Calibri"/>
          <w:sz w:val="18"/>
          <w:szCs w:val="18"/>
          <w:color w:val="auto"/>
        </w:rPr>
        <w:t>has or intends to have any business operatons or other dealings:</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264"/>
        </w:numPr>
        <w:rPr>
          <w:rFonts w:ascii="Calibri" w:cs="Calibri" w:eastAsia="Calibri" w:hAnsi="Calibri"/>
          <w:sz w:val="18"/>
          <w:szCs w:val="18"/>
          <w:color w:val="auto"/>
        </w:rPr>
      </w:pPr>
      <w:r>
        <w:rPr>
          <w:rFonts w:ascii="Calibri" w:cs="Calibri" w:eastAsia="Calibri" w:hAnsi="Calibri"/>
          <w:sz w:val="18"/>
          <w:szCs w:val="18"/>
          <w:color w:val="auto"/>
        </w:rPr>
        <w:t>in any Sanctoned Country which may result in a violaton of any Sanctons applicable to it;</w:t>
      </w:r>
    </w:p>
    <w:p>
      <w:pPr>
        <w:spacing w:after="0" w:line="183" w:lineRule="exact"/>
        <w:rPr>
          <w:rFonts w:ascii="Calibri" w:cs="Calibri" w:eastAsia="Calibri" w:hAnsi="Calibri"/>
          <w:sz w:val="18"/>
          <w:szCs w:val="18"/>
          <w:color w:val="auto"/>
        </w:rPr>
      </w:pPr>
    </w:p>
    <w:p>
      <w:pPr>
        <w:ind w:left="1760" w:hanging="582"/>
        <w:spacing w:after="0" w:line="228" w:lineRule="auto"/>
        <w:tabs>
          <w:tab w:leader="none" w:pos="1760" w:val="left"/>
        </w:tabs>
        <w:numPr>
          <w:ilvl w:val="2"/>
          <w:numId w:val="264"/>
        </w:numPr>
        <w:rPr>
          <w:rFonts w:ascii="Calibri" w:cs="Calibri" w:eastAsia="Calibri" w:hAnsi="Calibri"/>
          <w:sz w:val="18"/>
          <w:szCs w:val="18"/>
          <w:color w:val="auto"/>
        </w:rPr>
      </w:pPr>
      <w:r>
        <w:rPr>
          <w:rFonts w:ascii="Calibri" w:cs="Calibri" w:eastAsia="Calibri" w:hAnsi="Calibri"/>
          <w:sz w:val="18"/>
          <w:szCs w:val="18"/>
          <w:color w:val="auto"/>
        </w:rPr>
        <w:t>with any Specially Designated Natonal (SDN) on OFAC’s SDN list or with a designated person targeted by asset freeze sanctons imposed by the UN, EU, Switzerland or HMT or owned or controlled by any such SDN or designated person; or</w:t>
      </w:r>
    </w:p>
    <w:p>
      <w:pPr>
        <w:spacing w:after="0" w:line="183" w:lineRule="exact"/>
        <w:rPr>
          <w:rFonts w:ascii="Calibri" w:cs="Calibri" w:eastAsia="Calibri" w:hAnsi="Calibri"/>
          <w:sz w:val="18"/>
          <w:szCs w:val="18"/>
          <w:color w:val="auto"/>
        </w:rPr>
      </w:pPr>
    </w:p>
    <w:p>
      <w:pPr>
        <w:jc w:val="both"/>
        <w:ind w:left="1760" w:hanging="582"/>
        <w:spacing w:after="0" w:line="225" w:lineRule="auto"/>
        <w:tabs>
          <w:tab w:leader="none" w:pos="1760" w:val="left"/>
        </w:tabs>
        <w:numPr>
          <w:ilvl w:val="2"/>
          <w:numId w:val="264"/>
        </w:numPr>
        <w:rPr>
          <w:rFonts w:ascii="Calibri" w:cs="Calibri" w:eastAsia="Calibri" w:hAnsi="Calibri"/>
          <w:sz w:val="18"/>
          <w:szCs w:val="18"/>
          <w:color w:val="auto"/>
        </w:rPr>
      </w:pPr>
      <w:r>
        <w:rPr>
          <w:rFonts w:ascii="Calibri" w:cs="Calibri" w:eastAsia="Calibri" w:hAnsi="Calibri"/>
          <w:sz w:val="18"/>
          <w:szCs w:val="18"/>
          <w:color w:val="auto"/>
        </w:rPr>
        <w:t>involving commodites or services of a Sanctoned Country origin or shipped to, through, or from a Sanctoned Country, or on Sanctoned Country owned or registered vessels or aircraf, or fnance or subsidise any of the foregoing exceeding 5 per cent. aggregated in comparison to the Borrower's or each Owner's total assets or revenues;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64"/>
        </w:numPr>
        <w:rPr>
          <w:rFonts w:ascii="Calibri" w:cs="Calibri" w:eastAsia="Calibri" w:hAnsi="Calibri"/>
          <w:sz w:val="18"/>
          <w:szCs w:val="18"/>
          <w:color w:val="auto"/>
        </w:rPr>
      </w:pPr>
      <w:r>
        <w:rPr>
          <w:rFonts w:ascii="Calibri" w:cs="Calibri" w:eastAsia="Calibri" w:hAnsi="Calibri"/>
          <w:sz w:val="18"/>
          <w:szCs w:val="18"/>
          <w:color w:val="auto"/>
        </w:rPr>
        <w:t>has received notce of, or is otherwise aware of, any claim, acton, suit, proceedings or investgaton involving it with respect to Sanctons; and/or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64"/>
        </w:numPr>
        <w:rPr>
          <w:rFonts w:ascii="Calibri" w:cs="Calibri" w:eastAsia="Calibri" w:hAnsi="Calibri"/>
          <w:sz w:val="18"/>
          <w:szCs w:val="18"/>
          <w:color w:val="auto"/>
        </w:rPr>
      </w:pPr>
      <w:r>
        <w:rPr>
          <w:rFonts w:ascii="Calibri" w:cs="Calibri" w:eastAsia="Calibri" w:hAnsi="Calibri"/>
          <w:sz w:val="18"/>
          <w:szCs w:val="18"/>
          <w:color w:val="auto"/>
        </w:rPr>
        <w:t>is actng on behalf of or at the directon of any Restricted Party.</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64"/>
        </w:numPr>
        <w:rPr>
          <w:rFonts w:ascii="Calibri" w:cs="Calibri" w:eastAsia="Calibri" w:hAnsi="Calibri"/>
          <w:sz w:val="18"/>
          <w:szCs w:val="18"/>
          <w:color w:val="auto"/>
        </w:rPr>
      </w:pPr>
      <w:r>
        <w:rPr>
          <w:rFonts w:ascii="Calibri" w:cs="Calibri" w:eastAsia="Calibri" w:hAnsi="Calibri"/>
          <w:sz w:val="18"/>
          <w:szCs w:val="18"/>
          <w:color w:val="auto"/>
        </w:rPr>
        <w:t>Each member of the Group, has taken, to the extent applicable to it, reasonable measures to ensure compliance with any Sanctons and will not use any part of the proceeds from the Loan or any part of the Loan in a manner which may result in a violaton of any Sanctons by any person.</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184" w:name="page185"/>
    <w:bookmarkEnd w:id="184"/>
    <w:p>
      <w:pPr>
        <w:jc w:val="both"/>
        <w:ind w:left="580" w:hanging="580"/>
        <w:spacing w:after="0" w:line="222" w:lineRule="auto"/>
        <w:tabs>
          <w:tab w:leader="none" w:pos="580" w:val="left"/>
        </w:tabs>
        <w:numPr>
          <w:ilvl w:val="0"/>
          <w:numId w:val="265"/>
        </w:numPr>
        <w:rPr>
          <w:rFonts w:ascii="Calibri" w:cs="Calibri" w:eastAsia="Calibri" w:hAnsi="Calibri"/>
          <w:sz w:val="18"/>
          <w:szCs w:val="18"/>
          <w:color w:val="auto"/>
        </w:rPr>
      </w:pPr>
      <w:r>
        <w:rPr>
          <w:rFonts w:ascii="Calibri" w:cs="Calibri" w:eastAsia="Calibri" w:hAnsi="Calibri"/>
          <w:sz w:val="18"/>
          <w:szCs w:val="18"/>
          <w:color w:val="auto"/>
        </w:rPr>
        <w:t>The representatons and warrantes provided for in this Clause 10.22 are only given by, and/or (as applicable) shall only apply to, any member of the Group which is a German Relevant Person (as defned in Clause 19.9) or any other member of the Group bound by any applicable statutory ant-boycot law or regulaton insofar as the giving of and compliance with such representatons and warrantes do not and will not result in a violaton of or confict with or liability under secton 7 of the German Foreign Trade Regulaton (</w:t>
      </w:r>
      <w:r>
        <w:rPr>
          <w:rFonts w:ascii="Calibri" w:cs="Calibri" w:eastAsia="Calibri" w:hAnsi="Calibri"/>
          <w:sz w:val="18"/>
          <w:szCs w:val="18"/>
          <w:i w:val="1"/>
          <w:iCs w:val="1"/>
          <w:color w:val="auto"/>
        </w:rPr>
        <w:t>Außenwirtschafsverordnung</w:t>
      </w:r>
      <w:r>
        <w:rPr>
          <w:rFonts w:ascii="Calibri" w:cs="Calibri" w:eastAsia="Calibri" w:hAnsi="Calibri"/>
          <w:sz w:val="18"/>
          <w:szCs w:val="18"/>
          <w:color w:val="auto"/>
        </w:rPr>
        <w:t>, AWV) (in conjuncton with secton 4 and secton 19 paragraph 3 no. 1 a) of the German Foreign Trade Act (</w:t>
      </w:r>
      <w:r>
        <w:rPr>
          <w:rFonts w:ascii="Calibri" w:cs="Calibri" w:eastAsia="Calibri" w:hAnsi="Calibri"/>
          <w:sz w:val="18"/>
          <w:szCs w:val="18"/>
          <w:i w:val="1"/>
          <w:iCs w:val="1"/>
          <w:color w:val="auto"/>
        </w:rPr>
        <w:t>Außenwirtschafsgesetz</w:t>
      </w:r>
      <w:r>
        <w:rPr>
          <w:rFonts w:ascii="Calibri" w:cs="Calibri" w:eastAsia="Calibri" w:hAnsi="Calibri"/>
          <w:sz w:val="18"/>
          <w:szCs w:val="18"/>
          <w:color w:val="auto"/>
        </w:rPr>
        <w:t>, AWG)), any provision of Council Regulaton (EC) 2271/96 or any similar applicable ant-boycot law or regulaton.</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65"/>
        </w:numPr>
        <w:rPr>
          <w:rFonts w:ascii="Calibri" w:cs="Calibri" w:eastAsia="Calibri" w:hAnsi="Calibri"/>
          <w:sz w:val="18"/>
          <w:szCs w:val="18"/>
          <w:color w:val="auto"/>
        </w:rPr>
      </w:pPr>
      <w:r>
        <w:rPr>
          <w:rFonts w:ascii="Calibri" w:cs="Calibri" w:eastAsia="Calibri" w:hAnsi="Calibri"/>
          <w:sz w:val="18"/>
          <w:szCs w:val="18"/>
          <w:color w:val="auto"/>
        </w:rPr>
        <w:t>In relaton to a Restricted Lender, the representatons and warrantes provided for in this Clause 10.22 shall only apply for the beneft of that Restricted Lender to the extent that such beneft and the exercise of any rights based on such representatons and warrantes will not result in a violaton of or confict with or liability under secton 7 of the German Foreign Trade Regulaton (</w:t>
      </w:r>
      <w:r>
        <w:rPr>
          <w:rFonts w:ascii="Calibri" w:cs="Calibri" w:eastAsia="Calibri" w:hAnsi="Calibri"/>
          <w:sz w:val="18"/>
          <w:szCs w:val="18"/>
          <w:i w:val="1"/>
          <w:iCs w:val="1"/>
          <w:color w:val="auto"/>
        </w:rPr>
        <w:t>Außenwirtschafsverordnung</w:t>
      </w:r>
      <w:r>
        <w:rPr>
          <w:rFonts w:ascii="Calibri" w:cs="Calibri" w:eastAsia="Calibri" w:hAnsi="Calibri"/>
          <w:sz w:val="18"/>
          <w:szCs w:val="18"/>
          <w:color w:val="auto"/>
        </w:rPr>
        <w:t>, AWV) (in conjuncton with secton 4 and secton 19 paragraph 3 no. 1 a) of the German Foreign Trade Act (</w:t>
      </w:r>
      <w:r>
        <w:rPr>
          <w:rFonts w:ascii="Calibri" w:cs="Calibri" w:eastAsia="Calibri" w:hAnsi="Calibri"/>
          <w:sz w:val="18"/>
          <w:szCs w:val="18"/>
          <w:i w:val="1"/>
          <w:iCs w:val="1"/>
          <w:color w:val="auto"/>
        </w:rPr>
        <w:t>Außenwirtschafsgesetz</w:t>
      </w:r>
      <w:r>
        <w:rPr>
          <w:rFonts w:ascii="Calibri" w:cs="Calibri" w:eastAsia="Calibri" w:hAnsi="Calibri"/>
          <w:sz w:val="18"/>
          <w:szCs w:val="18"/>
          <w:color w:val="auto"/>
        </w:rPr>
        <w:t>, AWG)), any provision of Council Regulaton (EC) 2271/96 or any similar applicable ant-boycot law or regulaton. In connecton with any amendment, waiver, determinaton or directon relatng to any part of this Clause 10.22 of which a Restricted Lender does not have the beneft, the commitments of that Restricted Lender will be disregarded for all purposes when determining whether the consent of the Majority Lenders or such other applicable quorum has been obtained or whether the determinaton or directon by the Majority Lenders or such other applicable quorum has been made.</w:t>
      </w:r>
    </w:p>
    <w:p>
      <w:pPr>
        <w:spacing w:after="0" w:line="244"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10.23</w:t>
        <w:tab/>
        <w:t>Repetton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representatons and warrantes in this Clause 10 shall be deemed to be repeated by the Borrower:</w:t>
      </w:r>
    </w:p>
    <w:p>
      <w:pPr>
        <w:spacing w:after="0" w:line="181" w:lineRule="exact"/>
        <w:rPr>
          <w:sz w:val="20"/>
          <w:szCs w:val="20"/>
          <w:color w:val="auto"/>
        </w:rPr>
      </w:pPr>
    </w:p>
    <w:p>
      <w:pPr>
        <w:ind w:left="580" w:hanging="580"/>
        <w:spacing w:after="0"/>
        <w:tabs>
          <w:tab w:leader="none" w:pos="580" w:val="left"/>
        </w:tabs>
        <w:numPr>
          <w:ilvl w:val="0"/>
          <w:numId w:val="266"/>
        </w:numPr>
        <w:rPr>
          <w:rFonts w:ascii="Calibri" w:cs="Calibri" w:eastAsia="Calibri" w:hAnsi="Calibri"/>
          <w:sz w:val="18"/>
          <w:szCs w:val="18"/>
          <w:color w:val="auto"/>
        </w:rPr>
      </w:pPr>
      <w:r>
        <w:rPr>
          <w:rFonts w:ascii="Calibri" w:cs="Calibri" w:eastAsia="Calibri" w:hAnsi="Calibri"/>
          <w:sz w:val="18"/>
          <w:szCs w:val="18"/>
          <w:color w:val="auto"/>
        </w:rPr>
        <w:t>on the date of service of the Drawdown Notce;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66"/>
        </w:numPr>
        <w:rPr>
          <w:rFonts w:ascii="Calibri" w:cs="Calibri" w:eastAsia="Calibri" w:hAnsi="Calibri"/>
          <w:sz w:val="18"/>
          <w:szCs w:val="18"/>
          <w:color w:val="auto"/>
        </w:rPr>
      </w:pPr>
      <w:r>
        <w:rPr>
          <w:rFonts w:ascii="Calibri" w:cs="Calibri" w:eastAsia="Calibri" w:hAnsi="Calibri"/>
          <w:sz w:val="18"/>
          <w:szCs w:val="18"/>
          <w:color w:val="auto"/>
        </w:rPr>
        <w:t>on the Drawdown Date;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66"/>
        </w:numPr>
        <w:rPr>
          <w:rFonts w:ascii="Calibri" w:cs="Calibri" w:eastAsia="Calibri" w:hAnsi="Calibri"/>
          <w:sz w:val="18"/>
          <w:szCs w:val="18"/>
          <w:color w:val="auto"/>
        </w:rPr>
      </w:pPr>
      <w:r>
        <w:rPr>
          <w:rFonts w:ascii="Calibri" w:cs="Calibri" w:eastAsia="Calibri" w:hAnsi="Calibri"/>
          <w:sz w:val="18"/>
          <w:szCs w:val="18"/>
          <w:color w:val="auto"/>
        </w:rPr>
        <w:t>with the excepton of Clauses 10.3, 10.9, 10.10, 10.11, 10.12 and 10.14 on the frst day of each Interest Period and on the date of any Compliance Certfcate issued pursuant to Clause 11.21,</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as if made with reference to the facts and circumstances existng on each such day.</w:t>
      </w:r>
    </w:p>
    <w:p>
      <w:pPr>
        <w:spacing w:after="0" w:line="181" w:lineRule="exact"/>
        <w:rPr>
          <w:sz w:val="20"/>
          <w:szCs w:val="20"/>
          <w:color w:val="auto"/>
        </w:rPr>
      </w:pPr>
    </w:p>
    <w:p>
      <w:pPr>
        <w:ind w:left="580" w:hanging="580"/>
        <w:spacing w:after="0"/>
        <w:tabs>
          <w:tab w:leader="none" w:pos="580" w:val="left"/>
        </w:tabs>
        <w:numPr>
          <w:ilvl w:val="0"/>
          <w:numId w:val="26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GENERAL UNDERTAKINGS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26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undertakes with each Creditor Party to comply with the following provisions of this Clause 11 at all tmes during the Security Period except as the Agent, actng with the authorisaton of the Majority Lenders, may otherwise permit in writng.</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11.2</w:t>
        <w:tab/>
        <w:t>Title; negatve pledge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w:t>
      </w:r>
    </w:p>
    <w:p>
      <w:pPr>
        <w:spacing w:after="0" w:line="183" w:lineRule="exact"/>
        <w:rPr>
          <w:sz w:val="20"/>
          <w:szCs w:val="20"/>
          <w:color w:val="auto"/>
        </w:rPr>
      </w:pPr>
    </w:p>
    <w:p>
      <w:pPr>
        <w:jc w:val="both"/>
        <w:ind w:left="580" w:hanging="580"/>
        <w:spacing w:after="0"/>
        <w:tabs>
          <w:tab w:leader="none" w:pos="580" w:val="left"/>
        </w:tabs>
        <w:numPr>
          <w:ilvl w:val="0"/>
          <w:numId w:val="269"/>
        </w:numPr>
        <w:rPr>
          <w:rFonts w:ascii="Calibri" w:cs="Calibri" w:eastAsia="Calibri" w:hAnsi="Calibri"/>
          <w:sz w:val="18"/>
          <w:szCs w:val="18"/>
          <w:color w:val="auto"/>
        </w:rPr>
      </w:pPr>
      <w:r>
        <w:rPr>
          <w:rFonts w:ascii="Calibri" w:cs="Calibri" w:eastAsia="Calibri" w:hAnsi="Calibri"/>
          <w:sz w:val="18"/>
          <w:szCs w:val="18"/>
          <w:color w:val="auto"/>
        </w:rPr>
        <w:t>on and from the Delivery Date, hold (directly or indirectly) the legal ttle to, and own the entre benefcial interest in the Owner, the Ship, her Insurances and Earnings, free from all Security Interests and other interests and rights of every kind, except for those created by the Finance</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185" w:name="page186"/>
    <w:bookmarkEnd w:id="185"/>
    <w:p>
      <w:pPr>
        <w:ind w:left="600"/>
        <w:spacing w:after="0"/>
        <w:rPr>
          <w:sz w:val="20"/>
          <w:szCs w:val="20"/>
          <w:color w:val="auto"/>
        </w:rPr>
      </w:pPr>
      <w:r>
        <w:rPr>
          <w:rFonts w:ascii="Calibri" w:cs="Calibri" w:eastAsia="Calibri" w:hAnsi="Calibri"/>
          <w:sz w:val="18"/>
          <w:szCs w:val="18"/>
          <w:color w:val="auto"/>
        </w:rPr>
        <w:t>Documents and the efect of assignments contained in the Finance Documents and except for Permited Security Interests; and</w:t>
      </w:r>
    </w:p>
    <w:p>
      <w:pPr>
        <w:spacing w:after="0" w:line="183" w:lineRule="exact"/>
        <w:rPr>
          <w:sz w:val="20"/>
          <w:szCs w:val="20"/>
          <w:color w:val="auto"/>
        </w:rPr>
      </w:pPr>
    </w:p>
    <w:p>
      <w:pPr>
        <w:ind w:left="580" w:hanging="580"/>
        <w:spacing w:after="0" w:line="228" w:lineRule="auto"/>
        <w:tabs>
          <w:tab w:leader="none" w:pos="580" w:val="left"/>
        </w:tabs>
        <w:numPr>
          <w:ilvl w:val="0"/>
          <w:numId w:val="270"/>
        </w:numPr>
        <w:rPr>
          <w:rFonts w:ascii="Calibri" w:cs="Calibri" w:eastAsia="Calibri" w:hAnsi="Calibri"/>
          <w:sz w:val="18"/>
          <w:szCs w:val="18"/>
          <w:color w:val="auto"/>
        </w:rPr>
      </w:pPr>
      <w:r>
        <w:rPr>
          <w:rFonts w:ascii="Calibri" w:cs="Calibri" w:eastAsia="Calibri" w:hAnsi="Calibri"/>
          <w:sz w:val="18"/>
          <w:szCs w:val="18"/>
          <w:color w:val="auto"/>
        </w:rPr>
        <w:t>not create or permit to arise any Security Interest (except for Permited Security Interests) over any other asset, present or future, other than Security Interests arising in the normal course of the Borrower's business of acquiring, operatng and (re)fnancing vessels.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11.3</w:t>
        <w:tab/>
        <w:t>No disposal of assets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 not, and shall procure that the Owner will not, transfer, lease or otherwise dispose of:</w:t>
      </w:r>
    </w:p>
    <w:p>
      <w:pPr>
        <w:spacing w:after="0" w:line="181" w:lineRule="exact"/>
        <w:rPr>
          <w:sz w:val="20"/>
          <w:szCs w:val="20"/>
          <w:color w:val="auto"/>
        </w:rPr>
      </w:pPr>
    </w:p>
    <w:p>
      <w:pPr>
        <w:ind w:left="580" w:hanging="580"/>
        <w:spacing w:after="0"/>
        <w:tabs>
          <w:tab w:leader="none" w:pos="580" w:val="left"/>
        </w:tabs>
        <w:numPr>
          <w:ilvl w:val="0"/>
          <w:numId w:val="271"/>
        </w:numPr>
        <w:rPr>
          <w:rFonts w:ascii="Calibri" w:cs="Calibri" w:eastAsia="Calibri" w:hAnsi="Calibri"/>
          <w:sz w:val="18"/>
          <w:szCs w:val="18"/>
          <w:color w:val="auto"/>
        </w:rPr>
      </w:pPr>
      <w:r>
        <w:rPr>
          <w:rFonts w:ascii="Calibri" w:cs="Calibri" w:eastAsia="Calibri" w:hAnsi="Calibri"/>
          <w:sz w:val="18"/>
          <w:szCs w:val="18"/>
          <w:color w:val="auto"/>
        </w:rPr>
        <w:t>all or a substantal part of its assets, whether by one transacton or a number of transactons, whether related or not;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71"/>
        </w:numPr>
        <w:rPr>
          <w:rFonts w:ascii="Calibri" w:cs="Calibri" w:eastAsia="Calibri" w:hAnsi="Calibri"/>
          <w:sz w:val="18"/>
          <w:szCs w:val="18"/>
          <w:color w:val="auto"/>
        </w:rPr>
      </w:pPr>
      <w:r>
        <w:rPr>
          <w:rFonts w:ascii="Calibri" w:cs="Calibri" w:eastAsia="Calibri" w:hAnsi="Calibri"/>
          <w:sz w:val="18"/>
          <w:szCs w:val="18"/>
          <w:color w:val="auto"/>
        </w:rPr>
        <w:t>any debt payable to it or any other right (present, future or contngent right) to receive a payment, including any right to damages or compensaton,</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but paragraph (a) does not apply to:</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71"/>
        </w:numPr>
        <w:rPr>
          <w:rFonts w:ascii="Calibri" w:cs="Calibri" w:eastAsia="Calibri" w:hAnsi="Calibri"/>
          <w:sz w:val="18"/>
          <w:szCs w:val="18"/>
          <w:color w:val="auto"/>
        </w:rPr>
      </w:pPr>
      <w:r>
        <w:rPr>
          <w:rFonts w:ascii="Calibri" w:cs="Calibri" w:eastAsia="Calibri" w:hAnsi="Calibri"/>
          <w:sz w:val="18"/>
          <w:szCs w:val="18"/>
          <w:color w:val="auto"/>
        </w:rPr>
        <w:t>any charter of the Ship;</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71"/>
        </w:numPr>
        <w:rPr>
          <w:rFonts w:ascii="Calibri" w:cs="Calibri" w:eastAsia="Calibri" w:hAnsi="Calibri"/>
          <w:sz w:val="18"/>
          <w:szCs w:val="18"/>
          <w:color w:val="auto"/>
        </w:rPr>
      </w:pPr>
      <w:r>
        <w:rPr>
          <w:rFonts w:ascii="Calibri" w:cs="Calibri" w:eastAsia="Calibri" w:hAnsi="Calibri"/>
          <w:sz w:val="18"/>
          <w:szCs w:val="18"/>
          <w:color w:val="auto"/>
        </w:rPr>
        <w:t>any sale of the Ship, subject to (A) the net sale proceeds of such sale being in an amount sufcient to make the mandatory prepayment of the Loan pursuant to Clause 8.8 and (B) no Event of Default has occurred, which is contnuing at the relevant tme;</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71"/>
        </w:numPr>
        <w:rPr>
          <w:rFonts w:ascii="Calibri" w:cs="Calibri" w:eastAsia="Calibri" w:hAnsi="Calibri"/>
          <w:sz w:val="18"/>
          <w:szCs w:val="18"/>
          <w:color w:val="auto"/>
        </w:rPr>
      </w:pPr>
      <w:r>
        <w:rPr>
          <w:rFonts w:ascii="Calibri" w:cs="Calibri" w:eastAsia="Calibri" w:hAnsi="Calibri"/>
          <w:sz w:val="18"/>
          <w:szCs w:val="18"/>
          <w:color w:val="auto"/>
        </w:rPr>
        <w:t>in the case of the Borrower, if such transfer, lease or disposal results in (A) the Borrower being in breach of any of its obligatons under Clause 12.5 or (B) the occurrence of an Event of Default.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11.4</w:t>
        <w:tab/>
        <w:t>No other liabilites or obligatons to be incurred</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will not, and shall procure that the Owner will not, incur any liability or obligaton (including, without limitaton, any Financial Indebtedness or any obligatons under a guarantee) except:</w:t>
      </w:r>
    </w:p>
    <w:p>
      <w:pPr>
        <w:spacing w:after="0" w:line="182" w:lineRule="exact"/>
        <w:rPr>
          <w:sz w:val="20"/>
          <w:szCs w:val="20"/>
          <w:color w:val="auto"/>
        </w:rPr>
      </w:pPr>
    </w:p>
    <w:p>
      <w:pPr>
        <w:ind w:left="580" w:hanging="580"/>
        <w:spacing w:after="0"/>
        <w:tabs>
          <w:tab w:leader="none" w:pos="580" w:val="left"/>
        </w:tabs>
        <w:numPr>
          <w:ilvl w:val="0"/>
          <w:numId w:val="272"/>
        </w:numPr>
        <w:rPr>
          <w:rFonts w:ascii="Calibri" w:cs="Calibri" w:eastAsia="Calibri" w:hAnsi="Calibri"/>
          <w:sz w:val="18"/>
          <w:szCs w:val="18"/>
          <w:color w:val="auto"/>
        </w:rPr>
      </w:pPr>
      <w:r>
        <w:rPr>
          <w:rFonts w:ascii="Calibri" w:cs="Calibri" w:eastAsia="Calibri" w:hAnsi="Calibri"/>
          <w:sz w:val="18"/>
          <w:szCs w:val="18"/>
          <w:color w:val="auto"/>
        </w:rPr>
        <w:t>liabilites and obligatons under the Finance Documents and the Underlying Documents to which it is or, as the case may be, will be a party;</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72"/>
        </w:numPr>
        <w:rPr>
          <w:rFonts w:ascii="Calibri" w:cs="Calibri" w:eastAsia="Calibri" w:hAnsi="Calibri"/>
          <w:sz w:val="18"/>
          <w:szCs w:val="18"/>
          <w:color w:val="auto"/>
        </w:rPr>
      </w:pPr>
      <w:r>
        <w:rPr>
          <w:rFonts w:ascii="Calibri" w:cs="Calibri" w:eastAsia="Calibri" w:hAnsi="Calibri"/>
          <w:sz w:val="18"/>
          <w:szCs w:val="18"/>
          <w:color w:val="auto"/>
        </w:rPr>
        <w:t>in the case of the Owner, liabilites or obligatons reasonably incurred in the normal course of its business of trading, operatng and chartering, maintaining and repairing the Ship (including, without limitaton, any Financial Indebtedness owing to the Borrower); and</w:t>
      </w:r>
    </w:p>
    <w:p>
      <w:pPr>
        <w:spacing w:after="0" w:line="183" w:lineRule="exact"/>
        <w:rPr>
          <w:rFonts w:ascii="Calibri" w:cs="Calibri" w:eastAsia="Calibri" w:hAnsi="Calibri"/>
          <w:sz w:val="18"/>
          <w:szCs w:val="18"/>
          <w:color w:val="auto"/>
        </w:rPr>
      </w:pPr>
    </w:p>
    <w:p>
      <w:pPr>
        <w:jc w:val="both"/>
        <w:ind w:left="580" w:hanging="580"/>
        <w:spacing w:after="0" w:line="222" w:lineRule="auto"/>
        <w:tabs>
          <w:tab w:leader="none" w:pos="580" w:val="left"/>
        </w:tabs>
        <w:numPr>
          <w:ilvl w:val="0"/>
          <w:numId w:val="272"/>
        </w:numPr>
        <w:rPr>
          <w:rFonts w:ascii="Calibri" w:cs="Calibri" w:eastAsia="Calibri" w:hAnsi="Calibri"/>
          <w:sz w:val="18"/>
          <w:szCs w:val="18"/>
          <w:color w:val="auto"/>
        </w:rPr>
      </w:pPr>
      <w:r>
        <w:rPr>
          <w:rFonts w:ascii="Calibri" w:cs="Calibri" w:eastAsia="Calibri" w:hAnsi="Calibri"/>
          <w:sz w:val="18"/>
          <w:szCs w:val="18"/>
          <w:color w:val="auto"/>
        </w:rPr>
        <w:t>in the case of the Borrower, liabilites or obligatons reasonably incurred in the normal course of its business of acquiring, operatng and fnancing or refnancing vessels (and issuing relevant guarantees), acquiring shares in vessel owning companies (or their holding companies) and fnancing from any type of lender of such acquisitons and all other maters incidental thereto (including, without limitaton, any Financial Indebtedness owing to the partners of the Borrower, subject to the Borrower ensuring on or prior to the Drawdown Date, that the rights of each creditor thereunder are fully subordinated in writng pursuant to a Subordinaton Agreement).</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86" w:name="page187"/>
    <w:bookmarkEnd w:id="186"/>
    <w:p>
      <w:pPr>
        <w:spacing w:after="0"/>
        <w:tabs>
          <w:tab w:leader="none" w:pos="560" w:val="left"/>
        </w:tabs>
        <w:rPr>
          <w:sz w:val="20"/>
          <w:szCs w:val="20"/>
          <w:color w:val="auto"/>
        </w:rPr>
      </w:pPr>
      <w:r>
        <w:rPr>
          <w:rFonts w:ascii="Calibri" w:cs="Calibri" w:eastAsia="Calibri" w:hAnsi="Calibri"/>
          <w:sz w:val="18"/>
          <w:szCs w:val="18"/>
          <w:b w:val="1"/>
          <w:bCs w:val="1"/>
          <w:color w:val="auto"/>
        </w:rPr>
        <w:t>11.5</w:t>
        <w:tab/>
        <w:t>Informaton provided to be accurate</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All fnancial and other informaton, including but not limited to factual informaton, exhibits and reports, which is provided in writng by or on behalf of the Borrower under or in connecton with any Finance Document will be true, correct and not misleading and will not omit any material fact or consideraton.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11.6</w:t>
        <w:tab/>
        <w:t>Provision of fnancial statements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will send or procure that there are sent to the Agent or, in relaton to the consolidated audited annual fnancial statements of the Group referred to in paragraph (a) of this Clause 11.6, notfy the Agent that they have been made available to the public and promptly afer each request of the Agent send:</w:t>
      </w:r>
    </w:p>
    <w:p>
      <w:pPr>
        <w:spacing w:after="0" w:line="184" w:lineRule="exact"/>
        <w:rPr>
          <w:sz w:val="20"/>
          <w:szCs w:val="20"/>
          <w:color w:val="auto"/>
        </w:rPr>
      </w:pPr>
    </w:p>
    <w:p>
      <w:pPr>
        <w:jc w:val="both"/>
        <w:ind w:left="580" w:hanging="580"/>
        <w:spacing w:after="0" w:line="225" w:lineRule="auto"/>
        <w:tabs>
          <w:tab w:leader="none" w:pos="580" w:val="left"/>
        </w:tabs>
        <w:numPr>
          <w:ilvl w:val="0"/>
          <w:numId w:val="273"/>
        </w:numPr>
        <w:rPr>
          <w:rFonts w:ascii="Calibri" w:cs="Calibri" w:eastAsia="Calibri" w:hAnsi="Calibri"/>
          <w:sz w:val="18"/>
          <w:szCs w:val="18"/>
          <w:color w:val="auto"/>
        </w:rPr>
      </w:pPr>
      <w:r>
        <w:rPr>
          <w:rFonts w:ascii="Calibri" w:cs="Calibri" w:eastAsia="Calibri" w:hAnsi="Calibri"/>
          <w:sz w:val="18"/>
          <w:szCs w:val="18"/>
          <w:color w:val="auto"/>
        </w:rPr>
        <w:t>as soon as possible, but in no event later than 120 days afer the end of each Financial Year of the Borrower the consolidated audited annual fnancial statements of the Group for that Financial Year (commencing with the fnancial statements for the Financial Year which ended on 31 December 2021);</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273"/>
        </w:numPr>
        <w:rPr>
          <w:rFonts w:ascii="Calibri" w:cs="Calibri" w:eastAsia="Calibri" w:hAnsi="Calibri"/>
          <w:sz w:val="18"/>
          <w:szCs w:val="18"/>
          <w:color w:val="auto"/>
        </w:rPr>
      </w:pPr>
      <w:r>
        <w:rPr>
          <w:rFonts w:ascii="Calibri" w:cs="Calibri" w:eastAsia="Calibri" w:hAnsi="Calibri"/>
          <w:sz w:val="18"/>
          <w:szCs w:val="18"/>
          <w:color w:val="auto"/>
        </w:rPr>
        <w:t>as soon as possible, but in no event later than 60 days afer the end of each 3-month period ending on 31 March, 30 June, 30 September, 31 December in each Financial Year of the Borrower the quarterly consolidated unaudited fnancial statements of the Group, in each case, for that 3-month period (commencing with the fnancial statements for the 3-month period, ending on 30 June 2022), duly certfed as to their correctness by the chief fnancial ofcer of the Borrower; and</w:t>
      </w:r>
    </w:p>
    <w:p>
      <w:pPr>
        <w:spacing w:after="0" w:line="185"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73"/>
        </w:numPr>
        <w:rPr>
          <w:rFonts w:ascii="Calibri" w:cs="Calibri" w:eastAsia="Calibri" w:hAnsi="Calibri"/>
          <w:sz w:val="18"/>
          <w:szCs w:val="18"/>
          <w:color w:val="auto"/>
        </w:rPr>
      </w:pPr>
      <w:r>
        <w:rPr>
          <w:rFonts w:ascii="Calibri" w:cs="Calibri" w:eastAsia="Calibri" w:hAnsi="Calibri"/>
          <w:sz w:val="18"/>
          <w:szCs w:val="18"/>
          <w:color w:val="auto"/>
        </w:rPr>
        <w:t>promptly afer each request by the Agent, such further fnancial or other informaton in respect of the Borrower, the Ship, the Owner, the other Security Partes and the Group (including, without limitaton any sale and purchase agreements, investment brochure(s), shipbuilding contracts and charter agreements) as may be requested by the Agent.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11.7</w:t>
        <w:tab/>
        <w:t>Form of fnancial statements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All fnancial statements delivered under Clause 11.6 will:</w:t>
      </w:r>
    </w:p>
    <w:p>
      <w:pPr>
        <w:spacing w:after="0" w:line="183" w:lineRule="exact"/>
        <w:rPr>
          <w:sz w:val="20"/>
          <w:szCs w:val="20"/>
          <w:color w:val="auto"/>
        </w:rPr>
      </w:pPr>
    </w:p>
    <w:p>
      <w:pPr>
        <w:ind w:left="580" w:hanging="580"/>
        <w:spacing w:after="0" w:line="228" w:lineRule="auto"/>
        <w:tabs>
          <w:tab w:leader="none" w:pos="580" w:val="left"/>
        </w:tabs>
        <w:numPr>
          <w:ilvl w:val="0"/>
          <w:numId w:val="274"/>
        </w:numPr>
        <w:rPr>
          <w:rFonts w:ascii="Calibri" w:cs="Calibri" w:eastAsia="Calibri" w:hAnsi="Calibri"/>
          <w:sz w:val="18"/>
          <w:szCs w:val="18"/>
          <w:color w:val="auto"/>
        </w:rPr>
      </w:pPr>
      <w:r>
        <w:rPr>
          <w:rFonts w:ascii="Calibri" w:cs="Calibri" w:eastAsia="Calibri" w:hAnsi="Calibri"/>
          <w:sz w:val="18"/>
          <w:szCs w:val="18"/>
          <w:color w:val="auto"/>
        </w:rPr>
        <w:t>be prepared in accordance with all applicable laws and GAAP and, in the case of any audited fnancial statements, be certfed by an independent and reputable auditor having requisite experience selected and appointed by the Borrower;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74"/>
        </w:numPr>
        <w:rPr>
          <w:rFonts w:ascii="Calibri" w:cs="Calibri" w:eastAsia="Calibri" w:hAnsi="Calibri"/>
          <w:sz w:val="18"/>
          <w:szCs w:val="18"/>
          <w:color w:val="auto"/>
        </w:rPr>
      </w:pPr>
      <w:r>
        <w:rPr>
          <w:rFonts w:ascii="Calibri" w:cs="Calibri" w:eastAsia="Calibri" w:hAnsi="Calibri"/>
          <w:sz w:val="18"/>
          <w:szCs w:val="18"/>
          <w:color w:val="auto"/>
        </w:rPr>
        <w:t>give a true and fair view of the state of afairs of the Borrower and the Group at the date of those accounts and of its proft for the period to which those accounts relate;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74"/>
        </w:numPr>
        <w:rPr>
          <w:rFonts w:ascii="Calibri" w:cs="Calibri" w:eastAsia="Calibri" w:hAnsi="Calibri"/>
          <w:sz w:val="18"/>
          <w:szCs w:val="18"/>
          <w:color w:val="auto"/>
        </w:rPr>
      </w:pPr>
      <w:r>
        <w:rPr>
          <w:rFonts w:ascii="Calibri" w:cs="Calibri" w:eastAsia="Calibri" w:hAnsi="Calibri"/>
          <w:sz w:val="18"/>
          <w:szCs w:val="18"/>
          <w:color w:val="auto"/>
        </w:rPr>
        <w:t>fully disclose or provide for all signifcant liabilites of the Borrower and the Group.</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11.8</w:t>
        <w:tab/>
        <w:t>Creditor notces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 send the Agent:</w:t>
      </w:r>
    </w:p>
    <w:p>
      <w:pPr>
        <w:spacing w:after="0" w:line="181" w:lineRule="exact"/>
        <w:rPr>
          <w:sz w:val="20"/>
          <w:szCs w:val="20"/>
          <w:color w:val="auto"/>
        </w:rPr>
      </w:pPr>
    </w:p>
    <w:p>
      <w:pPr>
        <w:ind w:left="580" w:hanging="580"/>
        <w:spacing w:after="0"/>
        <w:tabs>
          <w:tab w:leader="none" w:pos="580" w:val="left"/>
        </w:tabs>
        <w:numPr>
          <w:ilvl w:val="0"/>
          <w:numId w:val="275"/>
        </w:numPr>
        <w:rPr>
          <w:rFonts w:ascii="Calibri" w:cs="Calibri" w:eastAsia="Calibri" w:hAnsi="Calibri"/>
          <w:sz w:val="18"/>
          <w:szCs w:val="18"/>
          <w:color w:val="auto"/>
        </w:rPr>
      </w:pPr>
      <w:r>
        <w:rPr>
          <w:rFonts w:ascii="Calibri" w:cs="Calibri" w:eastAsia="Calibri" w:hAnsi="Calibri"/>
          <w:sz w:val="18"/>
          <w:szCs w:val="18"/>
          <w:color w:val="auto"/>
        </w:rPr>
        <w:t>whilst an Event of Default is in existence, at the same tme as they are dispatched;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75"/>
        </w:numPr>
        <w:rPr>
          <w:rFonts w:ascii="Calibri" w:cs="Calibri" w:eastAsia="Calibri" w:hAnsi="Calibri"/>
          <w:sz w:val="18"/>
          <w:szCs w:val="18"/>
          <w:color w:val="auto"/>
        </w:rPr>
      </w:pPr>
      <w:r>
        <w:rPr>
          <w:rFonts w:ascii="Calibri" w:cs="Calibri" w:eastAsia="Calibri" w:hAnsi="Calibri"/>
          <w:sz w:val="18"/>
          <w:szCs w:val="18"/>
          <w:color w:val="auto"/>
        </w:rPr>
        <w:t>at all other tmes, upon the Agent's request,</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87" w:name="page188"/>
    <w:bookmarkEnd w:id="187"/>
    <w:p>
      <w:pPr>
        <w:ind w:left="600"/>
        <w:spacing w:after="0"/>
        <w:rPr>
          <w:sz w:val="20"/>
          <w:szCs w:val="20"/>
          <w:color w:val="auto"/>
        </w:rPr>
      </w:pPr>
      <w:r>
        <w:rPr>
          <w:rFonts w:ascii="Calibri" w:cs="Calibri" w:eastAsia="Calibri" w:hAnsi="Calibri"/>
          <w:sz w:val="18"/>
          <w:szCs w:val="18"/>
          <w:color w:val="auto"/>
        </w:rPr>
        <w:t>copies of all communicatons which are despatched to the Borrower's partners or creditors or any class of them.</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11.9</w:t>
        <w:tab/>
        <w:t>Consents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will, and shall procure, where applicable, that the Owner will, maintain in force and promptly obtain or renew, and will promptly send certfed copies to the Agent of, all consents required:</w:t>
      </w:r>
    </w:p>
    <w:p>
      <w:pPr>
        <w:spacing w:after="0" w:line="184" w:lineRule="exact"/>
        <w:rPr>
          <w:sz w:val="20"/>
          <w:szCs w:val="20"/>
          <w:color w:val="auto"/>
        </w:rPr>
      </w:pPr>
    </w:p>
    <w:p>
      <w:pPr>
        <w:ind w:left="580" w:hanging="580"/>
        <w:spacing w:after="0" w:line="228" w:lineRule="auto"/>
        <w:tabs>
          <w:tab w:leader="none" w:pos="580" w:val="left"/>
        </w:tabs>
        <w:numPr>
          <w:ilvl w:val="0"/>
          <w:numId w:val="276"/>
        </w:numPr>
        <w:rPr>
          <w:rFonts w:ascii="Calibri" w:cs="Calibri" w:eastAsia="Calibri" w:hAnsi="Calibri"/>
          <w:sz w:val="18"/>
          <w:szCs w:val="18"/>
          <w:color w:val="auto"/>
        </w:rPr>
      </w:pPr>
      <w:r>
        <w:rPr>
          <w:rFonts w:ascii="Calibri" w:cs="Calibri" w:eastAsia="Calibri" w:hAnsi="Calibri"/>
          <w:sz w:val="18"/>
          <w:szCs w:val="18"/>
          <w:color w:val="auto"/>
        </w:rPr>
        <w:t>for the Borrower and the Owner to perform their respectve obligatons under any Finance Document and/or any Underlying Document to which each is or, as the case may be, will be a party;</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76"/>
        </w:numPr>
        <w:rPr>
          <w:rFonts w:ascii="Calibri" w:cs="Calibri" w:eastAsia="Calibri" w:hAnsi="Calibri"/>
          <w:sz w:val="18"/>
          <w:szCs w:val="18"/>
          <w:color w:val="auto"/>
        </w:rPr>
      </w:pPr>
      <w:r>
        <w:rPr>
          <w:rFonts w:ascii="Calibri" w:cs="Calibri" w:eastAsia="Calibri" w:hAnsi="Calibri"/>
          <w:sz w:val="18"/>
          <w:szCs w:val="18"/>
          <w:color w:val="auto"/>
        </w:rPr>
        <w:t>for the validity or enforceability of any Finance Document and/or any Underlying Document to which each is or, as the case may be, will be a party;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76"/>
        </w:numPr>
        <w:rPr>
          <w:rFonts w:ascii="Calibri" w:cs="Calibri" w:eastAsia="Calibri" w:hAnsi="Calibri"/>
          <w:sz w:val="18"/>
          <w:szCs w:val="18"/>
          <w:color w:val="auto"/>
        </w:rPr>
      </w:pPr>
      <w:r>
        <w:rPr>
          <w:rFonts w:ascii="Calibri" w:cs="Calibri" w:eastAsia="Calibri" w:hAnsi="Calibri"/>
          <w:sz w:val="18"/>
          <w:szCs w:val="18"/>
          <w:color w:val="auto"/>
        </w:rPr>
        <w:t>for the Owner to contnue to own and operate the Ship,</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and the Borrower will, and shall procure that the Owner will, comply (or procure compliance as the case may be) with the terms of all such consents.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11.10</w:t>
        <w:tab/>
        <w:t>Maintenance of Security Interests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w:t>
      </w:r>
    </w:p>
    <w:p>
      <w:pPr>
        <w:spacing w:after="0" w:line="183" w:lineRule="exact"/>
        <w:rPr>
          <w:sz w:val="20"/>
          <w:szCs w:val="20"/>
          <w:color w:val="auto"/>
        </w:rPr>
      </w:pPr>
    </w:p>
    <w:p>
      <w:pPr>
        <w:ind w:left="580" w:hanging="580"/>
        <w:spacing w:after="0" w:line="228" w:lineRule="auto"/>
        <w:tabs>
          <w:tab w:leader="none" w:pos="580" w:val="left"/>
        </w:tabs>
        <w:numPr>
          <w:ilvl w:val="0"/>
          <w:numId w:val="277"/>
        </w:numPr>
        <w:rPr>
          <w:rFonts w:ascii="Calibri" w:cs="Calibri" w:eastAsia="Calibri" w:hAnsi="Calibri"/>
          <w:sz w:val="18"/>
          <w:szCs w:val="18"/>
          <w:color w:val="auto"/>
        </w:rPr>
      </w:pPr>
      <w:r>
        <w:rPr>
          <w:rFonts w:ascii="Calibri" w:cs="Calibri" w:eastAsia="Calibri" w:hAnsi="Calibri"/>
          <w:sz w:val="18"/>
          <w:szCs w:val="18"/>
          <w:color w:val="auto"/>
        </w:rPr>
        <w:t>at its own cost, do all that it reasonably can to ensure that any Finance Document validly creates the obligatons and the Security Interests which it purports to create; and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77"/>
        </w:numPr>
        <w:rPr>
          <w:rFonts w:ascii="Calibri" w:cs="Calibri" w:eastAsia="Calibri" w:hAnsi="Calibri"/>
          <w:sz w:val="18"/>
          <w:szCs w:val="18"/>
          <w:color w:val="auto"/>
        </w:rPr>
      </w:pPr>
      <w:r>
        <w:rPr>
          <w:rFonts w:ascii="Calibri" w:cs="Calibri" w:eastAsia="Calibri" w:hAnsi="Calibri"/>
          <w:sz w:val="18"/>
          <w:szCs w:val="18"/>
          <w:color w:val="auto"/>
        </w:rPr>
        <w:t>without limitng the generality of paragraph (a), at its own cost, promptly register, fle, record or enrol any Finance Document with any court or authority in all Pertnent Jurisdictons, pay any stamp, registraton or similar tax in all Pertnent Jurisdictons in respect of any Finance Document, give any notce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32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11.11</w:t>
        <w:tab/>
        <w:t>Notfcaton of litgaton</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will provide the Agent with details of any legal or administratve acton involving the Borrower, the Owner, the Ship, the Earnings or the Insurances in respect of the Ship, any Security Party or to the best of Borrower's knowledge in respect of any Approved Manager who is not a member of the Group in relaton to the Ship, as soon as such acton is insttuted or it becomes apparent to the Borrower that it is likely to be insttuted, unless it is clear that the legal or administratve acton cannot be considered material in the context of any Finance Document and the Borrower shall procure that reasonable measures are taken to defend any such legal or administratve acton.</w:t>
      </w:r>
    </w:p>
    <w:p>
      <w:pPr>
        <w:spacing w:after="0" w:line="30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11.12</w:t>
        <w:tab/>
        <w:t>No amendment to the Underlying Documents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not, and shall procure that the Owner will not, waive or fail to enforce, the Underlying Documents to which it is a party or any of its provisions and promptly notfy the Agent of any material amendment or supplement to any Underlying Document.</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188" w:name="page189"/>
    <w:bookmarkEnd w:id="188"/>
    <w:p>
      <w:pPr>
        <w:spacing w:after="0"/>
        <w:tabs>
          <w:tab w:leader="none" w:pos="560" w:val="left"/>
        </w:tabs>
        <w:rPr>
          <w:sz w:val="20"/>
          <w:szCs w:val="20"/>
          <w:color w:val="auto"/>
        </w:rPr>
      </w:pPr>
      <w:r>
        <w:rPr>
          <w:rFonts w:ascii="Calibri" w:cs="Calibri" w:eastAsia="Calibri" w:hAnsi="Calibri"/>
          <w:sz w:val="18"/>
          <w:szCs w:val="18"/>
          <w:b w:val="1"/>
          <w:bCs w:val="1"/>
          <w:color w:val="auto"/>
        </w:rPr>
        <w:t>11.13</w:t>
        <w:tab/>
        <w:t>Principal place of business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will maintain its place of business, and keep its corporate documents and records, at the address stated in Clause 28.2(a); and the Borrower will not establish, or do anything as a result of which it would be deemed to have, a place of business in any country other than Greece.</w:t>
      </w:r>
    </w:p>
    <w:p>
      <w:pPr>
        <w:spacing w:after="0" w:line="360"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11.14</w:t>
        <w:tab/>
        <w:t>Confrmaton of no default</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will, within fve Business Days afer service by the Agent of a writen request, serve on the Agent a notce which is signed by the authorised representatve of the Borrower or an ofcer of the Borrower's general partner and which:</w:t>
      </w:r>
    </w:p>
    <w:p>
      <w:pPr>
        <w:spacing w:after="0" w:line="182" w:lineRule="exact"/>
        <w:rPr>
          <w:sz w:val="20"/>
          <w:szCs w:val="20"/>
          <w:color w:val="auto"/>
        </w:rPr>
      </w:pPr>
    </w:p>
    <w:p>
      <w:pPr>
        <w:ind w:left="580" w:hanging="580"/>
        <w:spacing w:after="0"/>
        <w:tabs>
          <w:tab w:leader="none" w:pos="580" w:val="left"/>
        </w:tabs>
        <w:numPr>
          <w:ilvl w:val="0"/>
          <w:numId w:val="278"/>
        </w:numPr>
        <w:rPr>
          <w:rFonts w:ascii="Calibri" w:cs="Calibri" w:eastAsia="Calibri" w:hAnsi="Calibri"/>
          <w:sz w:val="18"/>
          <w:szCs w:val="18"/>
          <w:color w:val="auto"/>
        </w:rPr>
      </w:pPr>
      <w:r>
        <w:rPr>
          <w:rFonts w:ascii="Calibri" w:cs="Calibri" w:eastAsia="Calibri" w:hAnsi="Calibri"/>
          <w:sz w:val="18"/>
          <w:szCs w:val="18"/>
          <w:color w:val="auto"/>
        </w:rPr>
        <w:t>states that no Event of Default or Potental Event of Default has occurred;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78"/>
        </w:numPr>
        <w:rPr>
          <w:rFonts w:ascii="Calibri" w:cs="Calibri" w:eastAsia="Calibri" w:hAnsi="Calibri"/>
          <w:sz w:val="18"/>
          <w:szCs w:val="18"/>
          <w:color w:val="auto"/>
        </w:rPr>
      </w:pPr>
      <w:r>
        <w:rPr>
          <w:rFonts w:ascii="Calibri" w:cs="Calibri" w:eastAsia="Calibri" w:hAnsi="Calibri"/>
          <w:sz w:val="18"/>
          <w:szCs w:val="18"/>
          <w:color w:val="auto"/>
        </w:rPr>
        <w:t>states that no Event of Default or Potental Event of Default has occurred, except for a specifed event or mater, of which all material details are given.</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may serve requests under this Clause 11.14 from tme to tme but only if asked to do so by a Lender or Lenders having Contributons exceeding 10 per cent. of the Loan (if the Loan has not been advanced) or Commitments exceeding 10 per cent. of the Total Commitments and this Clause 11.14 does not afect the Borrower's obligatons under Clause 11.15.</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11.15</w:t>
        <w:tab/>
        <w:t>Notfcaton of default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 notfy the Agent as soon as the Borrower becomes aware of:</w:t>
      </w:r>
    </w:p>
    <w:p>
      <w:pPr>
        <w:spacing w:after="0" w:line="181" w:lineRule="exact"/>
        <w:rPr>
          <w:sz w:val="20"/>
          <w:szCs w:val="20"/>
          <w:color w:val="auto"/>
        </w:rPr>
      </w:pPr>
    </w:p>
    <w:p>
      <w:pPr>
        <w:ind w:left="580" w:hanging="580"/>
        <w:spacing w:after="0"/>
        <w:tabs>
          <w:tab w:leader="none" w:pos="580" w:val="left"/>
        </w:tabs>
        <w:numPr>
          <w:ilvl w:val="0"/>
          <w:numId w:val="279"/>
        </w:numPr>
        <w:rPr>
          <w:rFonts w:ascii="Calibri" w:cs="Calibri" w:eastAsia="Calibri" w:hAnsi="Calibri"/>
          <w:sz w:val="18"/>
          <w:szCs w:val="18"/>
          <w:color w:val="auto"/>
        </w:rPr>
      </w:pPr>
      <w:r>
        <w:rPr>
          <w:rFonts w:ascii="Calibri" w:cs="Calibri" w:eastAsia="Calibri" w:hAnsi="Calibri"/>
          <w:sz w:val="18"/>
          <w:szCs w:val="18"/>
          <w:color w:val="auto"/>
        </w:rPr>
        <w:t>the occurrence of an Event of Default or a Potental Event of Default;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79"/>
        </w:numPr>
        <w:rPr>
          <w:rFonts w:ascii="Calibri" w:cs="Calibri" w:eastAsia="Calibri" w:hAnsi="Calibri"/>
          <w:sz w:val="18"/>
          <w:szCs w:val="18"/>
          <w:color w:val="auto"/>
        </w:rPr>
      </w:pPr>
      <w:r>
        <w:rPr>
          <w:rFonts w:ascii="Calibri" w:cs="Calibri" w:eastAsia="Calibri" w:hAnsi="Calibri"/>
          <w:sz w:val="18"/>
          <w:szCs w:val="18"/>
          <w:color w:val="auto"/>
        </w:rPr>
        <w:t>any mater which indicates that an Event of Default or a Potental Event of Default may have occurred,</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and will keep the Agent fully up-to-date with all developments.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11.16</w:t>
        <w:tab/>
        <w:t>Provision of further informaton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shall, and shall procure that the Owner will as soon as practcable afer receiving the request, provide the Agent with any additonal fnancial or other informaton relatng:</w:t>
      </w:r>
    </w:p>
    <w:p>
      <w:pPr>
        <w:spacing w:after="0" w:line="182" w:lineRule="exact"/>
        <w:rPr>
          <w:sz w:val="20"/>
          <w:szCs w:val="20"/>
          <w:color w:val="auto"/>
        </w:rPr>
      </w:pPr>
    </w:p>
    <w:p>
      <w:pPr>
        <w:ind w:left="580" w:hanging="580"/>
        <w:spacing w:after="0"/>
        <w:tabs>
          <w:tab w:leader="none" w:pos="580" w:val="left"/>
        </w:tabs>
        <w:numPr>
          <w:ilvl w:val="0"/>
          <w:numId w:val="280"/>
        </w:numPr>
        <w:rPr>
          <w:rFonts w:ascii="Calibri" w:cs="Calibri" w:eastAsia="Calibri" w:hAnsi="Calibri"/>
          <w:sz w:val="18"/>
          <w:szCs w:val="18"/>
          <w:color w:val="auto"/>
        </w:rPr>
      </w:pPr>
      <w:r>
        <w:rPr>
          <w:rFonts w:ascii="Calibri" w:cs="Calibri" w:eastAsia="Calibri" w:hAnsi="Calibri"/>
          <w:sz w:val="18"/>
          <w:szCs w:val="18"/>
          <w:color w:val="auto"/>
        </w:rPr>
        <w:t>to the Borrower, the Owner, the Ship, the Earnings or the Insurances of any Ship;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80"/>
        </w:numPr>
        <w:rPr>
          <w:rFonts w:ascii="Calibri" w:cs="Calibri" w:eastAsia="Calibri" w:hAnsi="Calibri"/>
          <w:sz w:val="18"/>
          <w:szCs w:val="18"/>
          <w:color w:val="auto"/>
        </w:rPr>
      </w:pPr>
      <w:r>
        <w:rPr>
          <w:rFonts w:ascii="Calibri" w:cs="Calibri" w:eastAsia="Calibri" w:hAnsi="Calibri"/>
          <w:sz w:val="18"/>
          <w:szCs w:val="18"/>
          <w:color w:val="auto"/>
        </w:rPr>
        <w:t>to any other mater relevant to, or to any provision of, a Finance Document,</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which may be requested by the Agent, the Security Trustee or any Lender at any tme.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11.17</w:t>
        <w:tab/>
        <w:t>General and administratve costs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shall ensure that the payment of all the general and administratve costs of the Borrower and the Owner in connecton with the ownership and operaton of the Ship (including, without limitaton, the payment of the management fees pursuant to any management agreement) shall be fully subordinated to the payment obligatons of the Borrower and the Owner under this Agreement and the other Finance Documents throughout the Security Period.</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89" w:name="page190"/>
    <w:bookmarkEnd w:id="189"/>
    <w:p>
      <w:pPr>
        <w:spacing w:after="0"/>
        <w:tabs>
          <w:tab w:leader="none" w:pos="560" w:val="left"/>
        </w:tabs>
        <w:rPr>
          <w:sz w:val="20"/>
          <w:szCs w:val="20"/>
          <w:color w:val="auto"/>
        </w:rPr>
      </w:pPr>
      <w:r>
        <w:rPr>
          <w:rFonts w:ascii="Calibri" w:cs="Calibri" w:eastAsia="Calibri" w:hAnsi="Calibri"/>
          <w:sz w:val="18"/>
          <w:szCs w:val="18"/>
          <w:b w:val="1"/>
          <w:bCs w:val="1"/>
          <w:color w:val="auto"/>
        </w:rPr>
        <w:t>11.18</w:t>
        <w:tab/>
        <w:t>Provision of copies of SEC flings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 xml:space="preserve">The Borrower will send to the Agent copies of all flings made with, and reports submited to, the US Securites and Exchange Commission promptly afer making such flings or submitng such reports </w:t>
      </w: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xml:space="preserve"> any such flings or reports which are made available to the public shall be considered to have been delivered to the Agent.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11.19</w:t>
        <w:tab/>
        <w:t>Provision of copies and translaton of documents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will supply the Agent with a sufcient number of copies of the documents referred to above to provide one copy for each Creditor Party; and if the Agent so requires in respect of any of those documents, the Borrower will provide a certfed English translaton prepared by a translator approved by the Agent or have them legalised and/or notarised by a competent authority.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11.20</w:t>
        <w:tab/>
        <w:t>"Know your customer" checks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If:</w:t>
      </w:r>
    </w:p>
    <w:p>
      <w:pPr>
        <w:spacing w:after="0" w:line="183" w:lineRule="exact"/>
        <w:rPr>
          <w:sz w:val="20"/>
          <w:szCs w:val="20"/>
          <w:color w:val="auto"/>
        </w:rPr>
      </w:pPr>
    </w:p>
    <w:p>
      <w:pPr>
        <w:ind w:left="580" w:hanging="580"/>
        <w:spacing w:after="0" w:line="228" w:lineRule="auto"/>
        <w:tabs>
          <w:tab w:leader="none" w:pos="580" w:val="left"/>
        </w:tabs>
        <w:numPr>
          <w:ilvl w:val="0"/>
          <w:numId w:val="281"/>
        </w:numPr>
        <w:rPr>
          <w:rFonts w:ascii="Calibri" w:cs="Calibri" w:eastAsia="Calibri" w:hAnsi="Calibri"/>
          <w:sz w:val="18"/>
          <w:szCs w:val="18"/>
          <w:color w:val="auto"/>
        </w:rPr>
      </w:pPr>
      <w:r>
        <w:rPr>
          <w:rFonts w:ascii="Calibri" w:cs="Calibri" w:eastAsia="Calibri" w:hAnsi="Calibri"/>
          <w:sz w:val="18"/>
          <w:szCs w:val="18"/>
          <w:color w:val="auto"/>
        </w:rPr>
        <w:t>the introducton of or any change in (or in the interpretaton, administraton or applicaton of) any law or regulaton made afer the date of this Agreement;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81"/>
        </w:numPr>
        <w:rPr>
          <w:rFonts w:ascii="Calibri" w:cs="Calibri" w:eastAsia="Calibri" w:hAnsi="Calibri"/>
          <w:sz w:val="18"/>
          <w:szCs w:val="18"/>
          <w:color w:val="auto"/>
        </w:rPr>
      </w:pPr>
      <w:r>
        <w:rPr>
          <w:rFonts w:ascii="Calibri" w:cs="Calibri" w:eastAsia="Calibri" w:hAnsi="Calibri"/>
          <w:sz w:val="18"/>
          <w:szCs w:val="18"/>
          <w:color w:val="auto"/>
        </w:rPr>
        <w:t>any change in the status of the general partner of the Borrower or any Security Party afer the date of this Agreement;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81"/>
        </w:numPr>
        <w:rPr>
          <w:rFonts w:ascii="Calibri" w:cs="Calibri" w:eastAsia="Calibri" w:hAnsi="Calibri"/>
          <w:sz w:val="18"/>
          <w:szCs w:val="18"/>
          <w:color w:val="auto"/>
        </w:rPr>
      </w:pPr>
      <w:r>
        <w:rPr>
          <w:rFonts w:ascii="Calibri" w:cs="Calibri" w:eastAsia="Calibri" w:hAnsi="Calibri"/>
          <w:sz w:val="18"/>
          <w:szCs w:val="18"/>
          <w:color w:val="auto"/>
        </w:rPr>
        <w:t>a proposed assignment or transfer by a Lender of any of its rights and obligatons under this Agreement to a party that is not a Lender prior to such assignment or transfer,</w:t>
      </w:r>
    </w:p>
    <w:p>
      <w:pPr>
        <w:spacing w:after="0" w:line="183" w:lineRule="exact"/>
        <w:rPr>
          <w:rFonts w:ascii="Calibri" w:cs="Calibri" w:eastAsia="Calibri" w:hAnsi="Calibri"/>
          <w:sz w:val="18"/>
          <w:szCs w:val="18"/>
          <w:color w:val="auto"/>
        </w:rPr>
      </w:pPr>
    </w:p>
    <w:p>
      <w:pPr>
        <w:jc w:val="both"/>
        <w:ind w:left="600"/>
        <w:spacing w:after="0"/>
        <w:rPr>
          <w:rFonts w:ascii="Calibri" w:cs="Calibri" w:eastAsia="Calibri" w:hAnsi="Calibri"/>
          <w:sz w:val="18"/>
          <w:szCs w:val="18"/>
          <w:color w:val="auto"/>
        </w:rPr>
      </w:pPr>
      <w:r>
        <w:rPr>
          <w:rFonts w:ascii="Calibri" w:cs="Calibri" w:eastAsia="Calibri" w:hAnsi="Calibri"/>
          <w:sz w:val="18"/>
          <w:szCs w:val="18"/>
          <w:color w:val="auto"/>
        </w:rPr>
        <w:t>obliges the Agent or any Lender (or, in the case of paragraph (c), any prospectve new Lender) to comply with "know your customer" or similar identfcaton procedures in circumstances where the necessary informaton is not already available to it, the Borrower shall promptly upon the request of the Agent or the Lender concerned supply, or procure the supply of, such documentaton and other evidence as is reasonably requested by the Agent (for itself or on behalf of any Lender) or the Lender concerned (for itself or, in the case of the event described in paragraph (c), on behalf of any prospectve new Lender) in order for the Agent, the Lender concerned or, in the case of the event described in paragraph (c), any prospectve new Lender to carry out and be satsfed it has complied with all necessary "know your customer" or other similar checks under all applicable laws and regulatons pursuant to the transactons contemplated in the Finance Documents.</w:t>
      </w:r>
    </w:p>
    <w:p>
      <w:pPr>
        <w:spacing w:after="0" w:line="26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11.21</w:t>
        <w:tab/>
        <w:t>Compliance Certfcate</w:t>
      </w:r>
    </w:p>
    <w:p>
      <w:pPr>
        <w:spacing w:after="0" w:line="183" w:lineRule="exact"/>
        <w:rPr>
          <w:sz w:val="20"/>
          <w:szCs w:val="20"/>
          <w:color w:val="auto"/>
        </w:rPr>
      </w:pPr>
    </w:p>
    <w:p>
      <w:pPr>
        <w:jc w:val="both"/>
        <w:ind w:left="580" w:hanging="580"/>
        <w:spacing w:after="0" w:line="225" w:lineRule="auto"/>
        <w:tabs>
          <w:tab w:leader="none" w:pos="580" w:val="left"/>
        </w:tabs>
        <w:numPr>
          <w:ilvl w:val="0"/>
          <w:numId w:val="282"/>
        </w:numPr>
        <w:rPr>
          <w:rFonts w:ascii="Calibri" w:cs="Calibri" w:eastAsia="Calibri" w:hAnsi="Calibri"/>
          <w:sz w:val="18"/>
          <w:szCs w:val="18"/>
          <w:color w:val="auto"/>
        </w:rPr>
      </w:pPr>
      <w:r>
        <w:rPr>
          <w:rFonts w:ascii="Calibri" w:cs="Calibri" w:eastAsia="Calibri" w:hAnsi="Calibri"/>
          <w:sz w:val="18"/>
          <w:szCs w:val="18"/>
          <w:color w:val="auto"/>
        </w:rPr>
        <w:t>The Borrower shall supply to the Agent, together with each set of fnancial statements delivered pursuant to paragraphs (a) and (b) of Clause 11.6 or, in the case of paragraph (a) of Clause 11.6, together with the notfcaton that the consolidated audited annual fnancial statements of the Group have been made available to the public, a Compliance Certfcate.</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82"/>
        </w:numPr>
        <w:rPr>
          <w:rFonts w:ascii="Calibri" w:cs="Calibri" w:eastAsia="Calibri" w:hAnsi="Calibri"/>
          <w:sz w:val="18"/>
          <w:szCs w:val="18"/>
          <w:color w:val="auto"/>
        </w:rPr>
      </w:pPr>
      <w:r>
        <w:rPr>
          <w:rFonts w:ascii="Calibri" w:cs="Calibri" w:eastAsia="Calibri" w:hAnsi="Calibri"/>
          <w:sz w:val="18"/>
          <w:szCs w:val="18"/>
          <w:color w:val="auto"/>
        </w:rPr>
        <w:t>Each Compliance Certfcate shall be duly signed by the chief fnancial ofcer of the Borrower, evidencing (inter alia) the Borrower's compliance (or not, as the case may be) with the provisions of Clauses 12.5 and 15.1 (setng out calculatons in reasonable details as to such compliance or not).</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90" w:name="page191"/>
    <w:bookmarkEnd w:id="190"/>
    <w:p>
      <w:pPr>
        <w:spacing w:after="0"/>
        <w:tabs>
          <w:tab w:leader="none" w:pos="560" w:val="left"/>
        </w:tabs>
        <w:rPr>
          <w:sz w:val="20"/>
          <w:szCs w:val="20"/>
          <w:color w:val="auto"/>
        </w:rPr>
      </w:pPr>
      <w:r>
        <w:rPr>
          <w:rFonts w:ascii="Calibri" w:cs="Calibri" w:eastAsia="Calibri" w:hAnsi="Calibri"/>
          <w:sz w:val="18"/>
          <w:szCs w:val="18"/>
          <w:b w:val="1"/>
          <w:bCs w:val="1"/>
          <w:color w:val="auto"/>
        </w:rPr>
        <w:t>11.22</w:t>
        <w:tab/>
        <w:t>No Money laundering</w:t>
      </w:r>
    </w:p>
    <w:p>
      <w:pPr>
        <w:spacing w:after="0" w:line="181" w:lineRule="exact"/>
        <w:rPr>
          <w:sz w:val="20"/>
          <w:szCs w:val="20"/>
          <w:color w:val="auto"/>
        </w:rPr>
      </w:pPr>
    </w:p>
    <w:p>
      <w:pPr>
        <w:ind w:left="580" w:hanging="580"/>
        <w:spacing w:after="0"/>
        <w:tabs>
          <w:tab w:leader="none" w:pos="580" w:val="left"/>
        </w:tabs>
        <w:numPr>
          <w:ilvl w:val="0"/>
          <w:numId w:val="283"/>
        </w:numPr>
        <w:rPr>
          <w:rFonts w:ascii="Calibri" w:cs="Calibri" w:eastAsia="Calibri" w:hAnsi="Calibri"/>
          <w:sz w:val="18"/>
          <w:szCs w:val="18"/>
          <w:color w:val="auto"/>
        </w:rPr>
      </w:pPr>
      <w:r>
        <w:rPr>
          <w:rFonts w:ascii="Calibri" w:cs="Calibri" w:eastAsia="Calibri" w:hAnsi="Calibri"/>
          <w:sz w:val="18"/>
          <w:szCs w:val="18"/>
          <w:color w:val="auto"/>
        </w:rPr>
        <w:t>The Borrower:</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283"/>
        </w:numPr>
        <w:rPr>
          <w:rFonts w:ascii="Calibri" w:cs="Calibri" w:eastAsia="Calibri" w:hAnsi="Calibri"/>
          <w:sz w:val="18"/>
          <w:szCs w:val="18"/>
          <w:color w:val="auto"/>
        </w:rPr>
      </w:pPr>
      <w:r>
        <w:rPr>
          <w:rFonts w:ascii="Calibri" w:cs="Calibri" w:eastAsia="Calibri" w:hAnsi="Calibri"/>
          <w:sz w:val="18"/>
          <w:szCs w:val="18"/>
          <w:color w:val="auto"/>
        </w:rPr>
        <w:t>will not, and will procure that no Security Party, to the extent applicable, will, in connecton with this Agreement or any of the other Finance Documents, contravene, or permit any subsidiary to contravene, any law, ofcial requirement or other regulatory measure or procedure implemented to combat "money laundering" (as defned in Artcle 1 of the Directve 2015/849/EC of the European Parliament and of the Council of the European Union of 20 May 2015) and any comparable US federal and state laws; and</w:t>
      </w:r>
    </w:p>
    <w:p>
      <w:pPr>
        <w:spacing w:after="0" w:line="185"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3"/>
        </w:numPr>
        <w:rPr>
          <w:rFonts w:ascii="Calibri" w:cs="Calibri" w:eastAsia="Calibri" w:hAnsi="Calibri"/>
          <w:sz w:val="18"/>
          <w:szCs w:val="18"/>
          <w:color w:val="auto"/>
        </w:rPr>
      </w:pPr>
      <w:r>
        <w:rPr>
          <w:rFonts w:ascii="Calibri" w:cs="Calibri" w:eastAsia="Calibri" w:hAnsi="Calibri"/>
          <w:sz w:val="18"/>
          <w:szCs w:val="18"/>
          <w:color w:val="auto"/>
        </w:rPr>
        <w:t>shall further submit any documents and declaratons on request, if such documents or declaratons are required by any Creditor Party to comply with its domestc money laundering and/or legal identfcaton requirements.</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83"/>
        </w:numPr>
        <w:rPr>
          <w:rFonts w:ascii="Calibri" w:cs="Calibri" w:eastAsia="Calibri" w:hAnsi="Calibri"/>
          <w:sz w:val="18"/>
          <w:szCs w:val="18"/>
          <w:color w:val="auto"/>
        </w:rPr>
      </w:pPr>
      <w:r>
        <w:rPr>
          <w:rFonts w:ascii="Calibri" w:cs="Calibri" w:eastAsia="Calibri" w:hAnsi="Calibri"/>
          <w:sz w:val="18"/>
          <w:szCs w:val="18"/>
          <w:color w:val="auto"/>
        </w:rPr>
        <w:t>The Borrower:</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283"/>
        </w:numPr>
        <w:rPr>
          <w:rFonts w:ascii="Calibri" w:cs="Calibri" w:eastAsia="Calibri" w:hAnsi="Calibri"/>
          <w:sz w:val="18"/>
          <w:szCs w:val="18"/>
          <w:color w:val="auto"/>
        </w:rPr>
      </w:pPr>
      <w:r>
        <w:rPr>
          <w:rFonts w:ascii="Calibri" w:cs="Calibri" w:eastAsia="Calibri" w:hAnsi="Calibri"/>
          <w:sz w:val="18"/>
          <w:szCs w:val="18"/>
          <w:color w:val="auto"/>
        </w:rPr>
        <w:t>shall confrm to the Agent that it is the benefciary within the meaning of the German Ant Money Laundering Act (</w:t>
      </w:r>
      <w:r>
        <w:rPr>
          <w:rFonts w:ascii="Calibri" w:cs="Calibri" w:eastAsia="Calibri" w:hAnsi="Calibri"/>
          <w:sz w:val="18"/>
          <w:szCs w:val="18"/>
          <w:i w:val="1"/>
          <w:iCs w:val="1"/>
          <w:color w:val="auto"/>
        </w:rPr>
        <w:t>Gesetz über das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Aufspüren von Gewinnen aus schweren Strafaten </w:t>
      </w:r>
      <w:r>
        <w:rPr>
          <w:rFonts w:ascii="Calibri" w:cs="Calibri" w:eastAsia="Calibri" w:hAnsi="Calibri"/>
          <w:sz w:val="18"/>
          <w:szCs w:val="18"/>
          <w:color w:val="auto"/>
        </w:rPr>
        <w:t>(</w:t>
      </w:r>
      <w:r>
        <w:rPr>
          <w:rFonts w:ascii="Calibri" w:cs="Calibri" w:eastAsia="Calibri" w:hAnsi="Calibri"/>
          <w:sz w:val="18"/>
          <w:szCs w:val="18"/>
          <w:i w:val="1"/>
          <w:iCs w:val="1"/>
          <w:color w:val="auto"/>
        </w:rPr>
        <w:t>Geldwäschegesetz</w:t>
      </w:r>
      <w:r>
        <w:rPr>
          <w:rFonts w:ascii="Calibri" w:cs="Calibri" w:eastAsia="Calibri" w:hAnsi="Calibri"/>
          <w:sz w:val="18"/>
          <w:szCs w:val="18"/>
          <w:color w:val="auto"/>
        </w:rPr>
        <w:t>)), actng for its own account and not for or on behalf of any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other person for each part of the Loan made or to be made available to it under this Agreement (that is to say, it acts for its own account and not for or on behalf of anyone else); and</w:t>
      </w:r>
    </w:p>
    <w:p>
      <w:pPr>
        <w:spacing w:after="0" w:line="185"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3"/>
        </w:numPr>
        <w:rPr>
          <w:rFonts w:ascii="Calibri" w:cs="Calibri" w:eastAsia="Calibri" w:hAnsi="Calibri"/>
          <w:sz w:val="18"/>
          <w:szCs w:val="18"/>
          <w:color w:val="auto"/>
        </w:rPr>
      </w:pPr>
      <w:r>
        <w:rPr>
          <w:rFonts w:ascii="Calibri" w:cs="Calibri" w:eastAsia="Calibri" w:hAnsi="Calibri"/>
          <w:sz w:val="18"/>
          <w:szCs w:val="18"/>
          <w:color w:val="auto"/>
        </w:rPr>
        <w:t>will promptly inform the Agent by writen notce, if it is not or ceases to be the benefciary and will provide in writng the name and address of the benefciary.</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283"/>
        </w:numPr>
        <w:rPr>
          <w:rFonts w:ascii="Calibri" w:cs="Calibri" w:eastAsia="Calibri" w:hAnsi="Calibri"/>
          <w:sz w:val="18"/>
          <w:szCs w:val="18"/>
          <w:color w:val="auto"/>
        </w:rPr>
      </w:pPr>
      <w:r>
        <w:rPr>
          <w:rFonts w:ascii="Calibri" w:cs="Calibri" w:eastAsia="Calibri" w:hAnsi="Calibri"/>
          <w:sz w:val="18"/>
          <w:szCs w:val="18"/>
          <w:color w:val="auto"/>
        </w:rPr>
        <w:t>The Agent shall promptly notfy the Lenders of any writen notce it receives under sub-paragraph (ii) of paragraph (b) of Clause 11.22 above.</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11.23</w:t>
        <w:tab/>
        <w:t>Sanctons</w:t>
      </w:r>
    </w:p>
    <w:p>
      <w:pPr>
        <w:spacing w:after="0" w:line="181" w:lineRule="exact"/>
        <w:rPr>
          <w:sz w:val="20"/>
          <w:szCs w:val="20"/>
          <w:color w:val="auto"/>
        </w:rPr>
      </w:pPr>
    </w:p>
    <w:p>
      <w:pPr>
        <w:ind w:left="580" w:hanging="580"/>
        <w:spacing w:after="0"/>
        <w:tabs>
          <w:tab w:leader="none" w:pos="580" w:val="left"/>
        </w:tabs>
        <w:numPr>
          <w:ilvl w:val="0"/>
          <w:numId w:val="284"/>
        </w:numPr>
        <w:rPr>
          <w:rFonts w:ascii="Calibri" w:cs="Calibri" w:eastAsia="Calibri" w:hAnsi="Calibri"/>
          <w:sz w:val="18"/>
          <w:szCs w:val="18"/>
          <w:color w:val="auto"/>
        </w:rPr>
      </w:pPr>
      <w:r>
        <w:rPr>
          <w:rFonts w:ascii="Calibri" w:cs="Calibri" w:eastAsia="Calibri" w:hAnsi="Calibri"/>
          <w:sz w:val="18"/>
          <w:szCs w:val="18"/>
          <w:color w:val="auto"/>
        </w:rPr>
        <w:t>The Borrower undertakes that neither it nor its subsidiaries will, directly or indirectly,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84"/>
        </w:numPr>
        <w:rPr>
          <w:rFonts w:ascii="Calibri" w:cs="Calibri" w:eastAsia="Calibri" w:hAnsi="Calibri"/>
          <w:sz w:val="18"/>
          <w:szCs w:val="18"/>
          <w:color w:val="auto"/>
        </w:rPr>
      </w:pPr>
      <w:r>
        <w:rPr>
          <w:rFonts w:ascii="Calibri" w:cs="Calibri" w:eastAsia="Calibri" w:hAnsi="Calibri"/>
          <w:sz w:val="18"/>
          <w:szCs w:val="18"/>
          <w:color w:val="auto"/>
        </w:rPr>
        <w:t>engage in any actvites in confict with or in violaton of any Sanctons and, in partcular,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4"/>
        </w:numPr>
        <w:rPr>
          <w:rFonts w:ascii="Calibri" w:cs="Calibri" w:eastAsia="Calibri" w:hAnsi="Calibri"/>
          <w:sz w:val="18"/>
          <w:szCs w:val="18"/>
          <w:color w:val="auto"/>
        </w:rPr>
      </w:pPr>
      <w:r>
        <w:rPr>
          <w:rFonts w:ascii="Calibri" w:cs="Calibri" w:eastAsia="Calibri" w:hAnsi="Calibri"/>
          <w:sz w:val="18"/>
          <w:szCs w:val="18"/>
          <w:color w:val="auto"/>
        </w:rPr>
        <w:t>use the proceeds of the Loan or any part of the Loan to lend, contribute or otherwise make available such proceeds to any subsidiary, joint venture partner or other person that is a Restricted Party;</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4"/>
        </w:numPr>
        <w:rPr>
          <w:rFonts w:ascii="Calibri" w:cs="Calibri" w:eastAsia="Calibri" w:hAnsi="Calibri"/>
          <w:sz w:val="18"/>
          <w:szCs w:val="18"/>
          <w:color w:val="auto"/>
        </w:rPr>
      </w:pPr>
      <w:r>
        <w:rPr>
          <w:rFonts w:ascii="Calibri" w:cs="Calibri" w:eastAsia="Calibri" w:hAnsi="Calibri"/>
          <w:sz w:val="18"/>
          <w:szCs w:val="18"/>
          <w:color w:val="auto"/>
        </w:rPr>
        <w:t>directly or indirectly fund all or part of any repayment or prepayment of the Loan with funds that are the property of, are benefcially owned directly or indirectly by, or are derived from any transacton with or acton involving a Restricted Party;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4"/>
        </w:numPr>
        <w:rPr>
          <w:rFonts w:ascii="Calibri" w:cs="Calibri" w:eastAsia="Calibri" w:hAnsi="Calibri"/>
          <w:sz w:val="18"/>
          <w:szCs w:val="18"/>
          <w:color w:val="auto"/>
        </w:rPr>
      </w:pPr>
      <w:r>
        <w:rPr>
          <w:rFonts w:ascii="Calibri" w:cs="Calibri" w:eastAsia="Calibri" w:hAnsi="Calibri"/>
          <w:sz w:val="18"/>
          <w:szCs w:val="18"/>
          <w:color w:val="auto"/>
        </w:rPr>
        <w:t>otherwise act in any manner with respect to such proceeds which would result in a violaton by any person (including any Creditor Party or any person partcipatng in the transacton, whether as inital purchaser, advisor, investor or otherwise) of Sanctons.</w:t>
      </w:r>
    </w:p>
    <w:p>
      <w:pPr>
        <w:spacing w:after="0" w:line="183" w:lineRule="exact"/>
        <w:rPr>
          <w:rFonts w:ascii="Calibri" w:cs="Calibri" w:eastAsia="Calibri" w:hAnsi="Calibri"/>
          <w:sz w:val="18"/>
          <w:szCs w:val="18"/>
          <w:color w:val="auto"/>
        </w:rPr>
      </w:pPr>
    </w:p>
    <w:p>
      <w:pPr>
        <w:jc w:val="both"/>
        <w:ind w:left="580" w:hanging="580"/>
        <w:spacing w:after="0" w:line="228" w:lineRule="auto"/>
        <w:tabs>
          <w:tab w:leader="none" w:pos="580" w:val="left"/>
        </w:tabs>
        <w:numPr>
          <w:ilvl w:val="0"/>
          <w:numId w:val="284"/>
        </w:numPr>
        <w:rPr>
          <w:rFonts w:ascii="Calibri" w:cs="Calibri" w:eastAsia="Calibri" w:hAnsi="Calibri"/>
          <w:sz w:val="18"/>
          <w:szCs w:val="18"/>
          <w:color w:val="auto"/>
        </w:rPr>
      </w:pPr>
      <w:r>
        <w:rPr>
          <w:rFonts w:ascii="Calibri" w:cs="Calibri" w:eastAsia="Calibri" w:hAnsi="Calibri"/>
          <w:sz w:val="18"/>
          <w:szCs w:val="18"/>
          <w:color w:val="auto"/>
        </w:rPr>
        <w:t>The undertakings provided for in this Clause 11.22 are only given by, and/or (as applicable) shall only apply to, any member of the Group which is a German Relevant Person or any other member of the Group bound by any applicable statutory ant-boycot law or regulaton</w:t>
      </w:r>
    </w:p>
    <w:p>
      <w:pPr>
        <w:ind w:left="580"/>
        <w:spacing w:after="0" w:line="219" w:lineRule="auto"/>
        <w:rPr>
          <w:sz w:val="20"/>
          <w:szCs w:val="20"/>
          <w:color w:val="auto"/>
        </w:rPr>
      </w:pPr>
      <w:r>
        <w:rPr>
          <w:rFonts w:ascii="Calibri" w:cs="Calibri" w:eastAsia="Calibri" w:hAnsi="Calibri"/>
          <w:sz w:val="18"/>
          <w:szCs w:val="18"/>
          <w:color w:val="auto"/>
        </w:rPr>
        <w:t>insofar</w:t>
      </w:r>
    </w:p>
    <w:p>
      <w:pPr>
        <w:jc w:val="both"/>
        <w:ind w:left="5540"/>
        <w:spacing w:after="0" w:line="218" w:lineRule="auto"/>
        <w:tabs>
          <w:tab w:leader="none" w:pos="9920" w:val="left"/>
        </w:tabs>
        <w:rPr>
          <w:sz w:val="20"/>
          <w:szCs w:val="20"/>
          <w:color w:val="auto"/>
        </w:rPr>
      </w:pPr>
      <w:r>
        <w:rPr>
          <w:rFonts w:ascii="Times New Roman" w:cs="Times New Roman" w:eastAsia="Times New Roman" w:hAnsi="Times New Roman"/>
          <w:sz w:val="17"/>
          <w:szCs w:val="17"/>
          <w:color w:val="auto"/>
        </w:rPr>
        <w:t>48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91" w:name="page192"/>
    <w:bookmarkEnd w:id="191"/>
    <w:p>
      <w:pPr>
        <w:jc w:val="both"/>
        <w:ind w:left="600"/>
        <w:spacing w:after="0" w:line="223" w:lineRule="auto"/>
        <w:rPr>
          <w:sz w:val="20"/>
          <w:szCs w:val="20"/>
          <w:color w:val="auto"/>
        </w:rPr>
      </w:pPr>
      <w:r>
        <w:rPr>
          <w:rFonts w:ascii="Calibri" w:cs="Calibri" w:eastAsia="Calibri" w:hAnsi="Calibri"/>
          <w:sz w:val="18"/>
          <w:szCs w:val="18"/>
          <w:color w:val="auto"/>
        </w:rPr>
        <w:t>as the giving of and compliance with such undertakings do not and will not result in a violaton of or confict with or liability under secton 7 of the German Foreign Trade Regulaton (</w:t>
      </w:r>
      <w:r>
        <w:rPr>
          <w:rFonts w:ascii="Calibri" w:cs="Calibri" w:eastAsia="Calibri" w:hAnsi="Calibri"/>
          <w:sz w:val="18"/>
          <w:szCs w:val="18"/>
          <w:i w:val="1"/>
          <w:iCs w:val="1"/>
          <w:color w:val="auto"/>
        </w:rPr>
        <w:t>Außenwirtschafsverordnung</w:t>
      </w:r>
      <w:r>
        <w:rPr>
          <w:rFonts w:ascii="Calibri" w:cs="Calibri" w:eastAsia="Calibri" w:hAnsi="Calibri"/>
          <w:sz w:val="18"/>
          <w:szCs w:val="18"/>
          <w:color w:val="auto"/>
        </w:rPr>
        <w:t>, AWV) (in conjuncton with secton 4 and secton 19 paragraph 3 no. 1 a) of the German Foreign Trade Act (</w:t>
      </w:r>
      <w:r>
        <w:rPr>
          <w:rFonts w:ascii="Calibri" w:cs="Calibri" w:eastAsia="Calibri" w:hAnsi="Calibri"/>
          <w:sz w:val="18"/>
          <w:szCs w:val="18"/>
          <w:i w:val="1"/>
          <w:iCs w:val="1"/>
          <w:color w:val="auto"/>
        </w:rPr>
        <w:t>Außenwirtschafsgesetz</w:t>
      </w:r>
      <w:r>
        <w:rPr>
          <w:rFonts w:ascii="Calibri" w:cs="Calibri" w:eastAsia="Calibri" w:hAnsi="Calibri"/>
          <w:sz w:val="18"/>
          <w:szCs w:val="18"/>
          <w:color w:val="auto"/>
        </w:rPr>
        <w:t>, AWG)), any provision of Council Regulaton (EC) 2271/96 or any other applicable ant-boycot or similar applicable laws or regulaton.</w:t>
      </w:r>
    </w:p>
    <w:p>
      <w:pPr>
        <w:spacing w:after="0" w:line="185" w:lineRule="exact"/>
        <w:rPr>
          <w:sz w:val="20"/>
          <w:szCs w:val="20"/>
          <w:color w:val="auto"/>
        </w:rPr>
      </w:pPr>
    </w:p>
    <w:p>
      <w:pPr>
        <w:jc w:val="both"/>
        <w:ind w:left="580" w:hanging="580"/>
        <w:spacing w:after="0"/>
        <w:tabs>
          <w:tab w:leader="none" w:pos="580" w:val="left"/>
        </w:tabs>
        <w:numPr>
          <w:ilvl w:val="0"/>
          <w:numId w:val="285"/>
        </w:numPr>
        <w:rPr>
          <w:rFonts w:ascii="Calibri" w:cs="Calibri" w:eastAsia="Calibri" w:hAnsi="Calibri"/>
          <w:sz w:val="18"/>
          <w:szCs w:val="18"/>
          <w:color w:val="auto"/>
        </w:rPr>
      </w:pPr>
      <w:r>
        <w:rPr>
          <w:rFonts w:ascii="Calibri" w:cs="Calibri" w:eastAsia="Calibri" w:hAnsi="Calibri"/>
          <w:sz w:val="18"/>
          <w:szCs w:val="18"/>
          <w:color w:val="auto"/>
        </w:rPr>
        <w:t>In relaton to a Restricted Lender, the undertakings provided for in this Clause 11.22 shall only apply for the beneft of that Restricted Lender to the extent that such beneft and the exercise of any rights based on such undertakings will not result in a violaton of or confict with or liability under secton 7 of the German Foreign Trade Regulaton (</w:t>
      </w:r>
      <w:r>
        <w:rPr>
          <w:rFonts w:ascii="Calibri" w:cs="Calibri" w:eastAsia="Calibri" w:hAnsi="Calibri"/>
          <w:sz w:val="18"/>
          <w:szCs w:val="18"/>
          <w:i w:val="1"/>
          <w:iCs w:val="1"/>
          <w:color w:val="auto"/>
        </w:rPr>
        <w:t>Außenwirtschafsverordnung</w:t>
      </w:r>
      <w:r>
        <w:rPr>
          <w:rFonts w:ascii="Calibri" w:cs="Calibri" w:eastAsia="Calibri" w:hAnsi="Calibri"/>
          <w:sz w:val="18"/>
          <w:szCs w:val="18"/>
          <w:color w:val="auto"/>
        </w:rPr>
        <w:t>, AWV) (in conjuncton with secton 4 and secton 19 paragraph 3 no. 1 a) of the German Foreign Trade Act (</w:t>
      </w:r>
      <w:r>
        <w:rPr>
          <w:rFonts w:ascii="Calibri" w:cs="Calibri" w:eastAsia="Calibri" w:hAnsi="Calibri"/>
          <w:sz w:val="18"/>
          <w:szCs w:val="18"/>
          <w:i w:val="1"/>
          <w:iCs w:val="1"/>
          <w:color w:val="auto"/>
        </w:rPr>
        <w:t>Außenwirtschafsgesetz</w:t>
      </w:r>
      <w:r>
        <w:rPr>
          <w:rFonts w:ascii="Calibri" w:cs="Calibri" w:eastAsia="Calibri" w:hAnsi="Calibri"/>
          <w:sz w:val="18"/>
          <w:szCs w:val="18"/>
          <w:color w:val="auto"/>
        </w:rPr>
        <w:t>, AWG)), any provision of Council Regulaton (EC) 2271/96 or any similar applicable ant-boycot law or regulaton. In connecton with any amendment, waiver, determinaton or directon relatng to any part of this Clause 11.22 of which a Restricted Lender does not have the beneft, the Commitments of that Restricted Lender will be disregarded for all purposes when determining whether the consent of the Majority Lenders (or such other applicable quorum) has been obtained or whether the determinaton or directon by the Majority Lenders (or such other applicable quorum) has been made.</w:t>
      </w:r>
    </w:p>
    <w:p>
      <w:pPr>
        <w:spacing w:after="0" w:line="244" w:lineRule="exact"/>
        <w:rPr>
          <w:sz w:val="20"/>
          <w:szCs w:val="20"/>
          <w:color w:val="auto"/>
        </w:rPr>
      </w:pPr>
    </w:p>
    <w:p>
      <w:pPr>
        <w:ind w:left="580" w:hanging="580"/>
        <w:spacing w:after="0"/>
        <w:tabs>
          <w:tab w:leader="none" w:pos="580" w:val="left"/>
        </w:tabs>
        <w:numPr>
          <w:ilvl w:val="0"/>
          <w:numId w:val="28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CORPORATE UNDERTAKINGS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28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also undertakes with each Creditor Party to comply with the following provisions of this Clause 12 at all tmes during the Security Period except as the Agent, actng with the authorisaton of the Majority Lenders, may otherwise permit in writng.</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12.2</w:t>
        <w:tab/>
        <w:t>Maintenance of status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 maintain its separate existence and remain in good standing under the laws of the Republic of the Marshall Islands.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12.3</w:t>
        <w:tab/>
        <w:t>Negatve undertakings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will not:</w:t>
      </w:r>
    </w:p>
    <w:p>
      <w:pPr>
        <w:spacing w:after="0" w:line="181" w:lineRule="exact"/>
        <w:rPr>
          <w:sz w:val="20"/>
          <w:szCs w:val="20"/>
          <w:color w:val="auto"/>
        </w:rPr>
      </w:pPr>
    </w:p>
    <w:p>
      <w:pPr>
        <w:ind w:left="580" w:hanging="580"/>
        <w:spacing w:after="0"/>
        <w:tabs>
          <w:tab w:leader="none" w:pos="580" w:val="left"/>
        </w:tabs>
        <w:numPr>
          <w:ilvl w:val="0"/>
          <w:numId w:val="288"/>
        </w:numPr>
        <w:rPr>
          <w:rFonts w:ascii="Calibri" w:cs="Calibri" w:eastAsia="Calibri" w:hAnsi="Calibri"/>
          <w:sz w:val="18"/>
          <w:szCs w:val="18"/>
          <w:color w:val="auto"/>
        </w:rPr>
      </w:pPr>
      <w:r>
        <w:rPr>
          <w:rFonts w:ascii="Calibri" w:cs="Calibri" w:eastAsia="Calibri" w:hAnsi="Calibri"/>
          <w:sz w:val="18"/>
          <w:szCs w:val="18"/>
          <w:color w:val="auto"/>
        </w:rPr>
        <w:t>change the nature of its business;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88"/>
        </w:numPr>
        <w:rPr>
          <w:rFonts w:ascii="Calibri" w:cs="Calibri" w:eastAsia="Calibri" w:hAnsi="Calibri"/>
          <w:sz w:val="18"/>
          <w:szCs w:val="18"/>
          <w:color w:val="auto"/>
        </w:rPr>
      </w:pPr>
      <w:r>
        <w:rPr>
          <w:rFonts w:ascii="Calibri" w:cs="Calibri" w:eastAsia="Calibri" w:hAnsi="Calibri"/>
          <w:sz w:val="18"/>
          <w:szCs w:val="18"/>
          <w:color w:val="auto"/>
        </w:rPr>
        <w:t>pay any dividend or make any other form of distributon or efect any form of redempton, purchase, return or reducton of its partnership interests unless: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8"/>
        </w:numPr>
        <w:rPr>
          <w:rFonts w:ascii="Calibri" w:cs="Calibri" w:eastAsia="Calibri" w:hAnsi="Calibri"/>
          <w:sz w:val="18"/>
          <w:szCs w:val="18"/>
          <w:color w:val="auto"/>
        </w:rPr>
      </w:pPr>
      <w:r>
        <w:rPr>
          <w:rFonts w:ascii="Calibri" w:cs="Calibri" w:eastAsia="Calibri" w:hAnsi="Calibri"/>
          <w:sz w:val="18"/>
          <w:szCs w:val="18"/>
          <w:color w:val="auto"/>
        </w:rPr>
        <w:t>no Event of Default has occurred and is contnuing at the relevant tme (including, without limitaton, any failure by the Borrower to satsfy the covenants contained in Clauses 12.5 and 15.1);</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88"/>
        </w:numPr>
        <w:rPr>
          <w:rFonts w:ascii="Calibri" w:cs="Calibri" w:eastAsia="Calibri" w:hAnsi="Calibri"/>
          <w:sz w:val="18"/>
          <w:szCs w:val="18"/>
          <w:color w:val="auto"/>
        </w:rPr>
      </w:pPr>
      <w:r>
        <w:rPr>
          <w:rFonts w:ascii="Calibri" w:cs="Calibri" w:eastAsia="Calibri" w:hAnsi="Calibri"/>
          <w:sz w:val="18"/>
          <w:szCs w:val="18"/>
          <w:color w:val="auto"/>
        </w:rPr>
        <w:t>no Event of Default will result from the payment of a dividend or the making of any other form of distributon;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88"/>
        </w:numPr>
        <w:rPr>
          <w:rFonts w:ascii="Calibri" w:cs="Calibri" w:eastAsia="Calibri" w:hAnsi="Calibri"/>
          <w:sz w:val="18"/>
          <w:szCs w:val="18"/>
          <w:color w:val="auto"/>
        </w:rPr>
      </w:pPr>
      <w:r>
        <w:rPr>
          <w:rFonts w:ascii="Calibri" w:cs="Calibri" w:eastAsia="Calibri" w:hAnsi="Calibri"/>
          <w:sz w:val="18"/>
          <w:szCs w:val="18"/>
          <w:color w:val="auto"/>
        </w:rPr>
        <w:t>it has frst supplied to the Agent any Compliance Certfcate required to be supplied at the relevant tme to the Agent pursuant to Clause 11.21 evidencing compliance with</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2" w:name="page193"/>
    <w:bookmarkEnd w:id="192"/>
    <w:p>
      <w:pPr>
        <w:ind w:left="1180"/>
        <w:spacing w:after="0" w:line="228" w:lineRule="auto"/>
        <w:rPr>
          <w:sz w:val="20"/>
          <w:szCs w:val="20"/>
          <w:color w:val="auto"/>
        </w:rPr>
      </w:pPr>
      <w:r>
        <w:rPr>
          <w:rFonts w:ascii="Calibri" w:cs="Calibri" w:eastAsia="Calibri" w:hAnsi="Calibri"/>
          <w:sz w:val="18"/>
          <w:szCs w:val="18"/>
          <w:color w:val="auto"/>
        </w:rPr>
        <w:t>the provisions of Clauses 12.5 and 15.1 for the period covered by the latest fnancial statements delivered to the Agent pursuant to Clause 11.6;</w:t>
      </w:r>
    </w:p>
    <w:p>
      <w:pPr>
        <w:spacing w:after="0" w:line="182" w:lineRule="exact"/>
        <w:rPr>
          <w:sz w:val="20"/>
          <w:szCs w:val="20"/>
          <w:color w:val="auto"/>
        </w:rPr>
      </w:pPr>
    </w:p>
    <w:p>
      <w:pPr>
        <w:ind w:left="580" w:hanging="580"/>
        <w:spacing w:after="0"/>
        <w:tabs>
          <w:tab w:leader="none" w:pos="580" w:val="left"/>
        </w:tabs>
        <w:numPr>
          <w:ilvl w:val="0"/>
          <w:numId w:val="289"/>
        </w:numPr>
        <w:rPr>
          <w:rFonts w:ascii="Calibri" w:cs="Calibri" w:eastAsia="Calibri" w:hAnsi="Calibri"/>
          <w:sz w:val="18"/>
          <w:szCs w:val="18"/>
          <w:color w:val="auto"/>
        </w:rPr>
      </w:pPr>
      <w:r>
        <w:rPr>
          <w:rFonts w:ascii="Calibri" w:cs="Calibri" w:eastAsia="Calibri" w:hAnsi="Calibri"/>
          <w:sz w:val="18"/>
          <w:szCs w:val="18"/>
          <w:color w:val="auto"/>
        </w:rPr>
        <w:t>provide any form of credit or fnancial assistance to:</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89"/>
        </w:numPr>
        <w:rPr>
          <w:rFonts w:ascii="Calibri" w:cs="Calibri" w:eastAsia="Calibri" w:hAnsi="Calibri"/>
          <w:sz w:val="18"/>
          <w:szCs w:val="18"/>
          <w:color w:val="auto"/>
        </w:rPr>
      </w:pPr>
      <w:r>
        <w:rPr>
          <w:rFonts w:ascii="Calibri" w:cs="Calibri" w:eastAsia="Calibri" w:hAnsi="Calibri"/>
          <w:sz w:val="18"/>
          <w:szCs w:val="18"/>
          <w:color w:val="auto"/>
        </w:rPr>
        <w:t>a person who is directly or indirectly interested in the Borrower's partnership interests;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89"/>
        </w:numPr>
        <w:rPr>
          <w:rFonts w:ascii="Calibri" w:cs="Calibri" w:eastAsia="Calibri" w:hAnsi="Calibri"/>
          <w:sz w:val="18"/>
          <w:szCs w:val="18"/>
          <w:color w:val="auto"/>
        </w:rPr>
      </w:pPr>
      <w:r>
        <w:rPr>
          <w:rFonts w:ascii="Calibri" w:cs="Calibri" w:eastAsia="Calibri" w:hAnsi="Calibri"/>
          <w:sz w:val="18"/>
          <w:szCs w:val="18"/>
          <w:color w:val="auto"/>
        </w:rPr>
        <w:t>any company in or with which such a person is directly or indirectly interested or connected,</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or enter into any transacton with or involving such a person or company on terms which are, in any respect, less favourable to the Borrower than those which it could obtain in a bargain made at arms' length;</w:t>
      </w:r>
    </w:p>
    <w:p>
      <w:pPr>
        <w:spacing w:after="0" w:line="184" w:lineRule="exact"/>
        <w:rPr>
          <w:sz w:val="20"/>
          <w:szCs w:val="20"/>
          <w:color w:val="auto"/>
        </w:rPr>
      </w:pPr>
    </w:p>
    <w:p>
      <w:pPr>
        <w:ind w:left="580" w:hanging="580"/>
        <w:spacing w:after="0" w:line="228" w:lineRule="auto"/>
        <w:tabs>
          <w:tab w:leader="none" w:pos="580" w:val="left"/>
        </w:tabs>
        <w:numPr>
          <w:ilvl w:val="0"/>
          <w:numId w:val="290"/>
        </w:numPr>
        <w:rPr>
          <w:rFonts w:ascii="Calibri" w:cs="Calibri" w:eastAsia="Calibri" w:hAnsi="Calibri"/>
          <w:sz w:val="18"/>
          <w:szCs w:val="18"/>
          <w:color w:val="auto"/>
        </w:rPr>
      </w:pPr>
      <w:r>
        <w:rPr>
          <w:rFonts w:ascii="Calibri" w:cs="Calibri" w:eastAsia="Calibri" w:hAnsi="Calibri"/>
          <w:sz w:val="18"/>
          <w:szCs w:val="18"/>
          <w:color w:val="auto"/>
        </w:rPr>
        <w:t>allow the Owner to open or maintain any account with any bank or fnancial insttuton except accounts with the Agent and the Security Trustee for the purposes of the Finance Documents;</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290"/>
        </w:numPr>
        <w:rPr>
          <w:rFonts w:ascii="Calibri" w:cs="Calibri" w:eastAsia="Calibri" w:hAnsi="Calibri"/>
          <w:sz w:val="18"/>
          <w:szCs w:val="18"/>
          <w:color w:val="auto"/>
        </w:rPr>
      </w:pPr>
      <w:r>
        <w:rPr>
          <w:rFonts w:ascii="Calibri" w:cs="Calibri" w:eastAsia="Calibri" w:hAnsi="Calibri"/>
          <w:sz w:val="18"/>
          <w:szCs w:val="18"/>
          <w:color w:val="auto"/>
        </w:rPr>
        <w:t>enter into any form of amalgamaton, merger or de-merger, acquisiton, divesture, split-up or any form of reconstructon or reorganisaton unless:</w:t>
      </w:r>
    </w:p>
    <w:p>
      <w:pPr>
        <w:spacing w:after="0" w:line="381"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290"/>
        </w:numPr>
        <w:rPr>
          <w:rFonts w:ascii="Calibri" w:cs="Calibri" w:eastAsia="Calibri" w:hAnsi="Calibri"/>
          <w:sz w:val="18"/>
          <w:szCs w:val="18"/>
          <w:color w:val="auto"/>
        </w:rPr>
      </w:pPr>
      <w:r>
        <w:rPr>
          <w:rFonts w:ascii="Calibri" w:cs="Calibri" w:eastAsia="Calibri" w:hAnsi="Calibri"/>
          <w:sz w:val="18"/>
          <w:szCs w:val="18"/>
          <w:color w:val="auto"/>
        </w:rPr>
        <w:t>the surviving entty following such amalgamaton, merger or de-merger, acquisiton, divesture, split-up or any form of reconstructon or reorganisaton is the Borrower; and</w:t>
      </w:r>
    </w:p>
    <w:p>
      <w:pPr>
        <w:spacing w:after="0" w:line="183" w:lineRule="exact"/>
        <w:rPr>
          <w:rFonts w:ascii="Calibri" w:cs="Calibri" w:eastAsia="Calibri" w:hAnsi="Calibri"/>
          <w:sz w:val="18"/>
          <w:szCs w:val="18"/>
          <w:color w:val="auto"/>
        </w:rPr>
      </w:pPr>
    </w:p>
    <w:p>
      <w:pPr>
        <w:jc w:val="both"/>
        <w:ind w:left="1180" w:hanging="591"/>
        <w:spacing w:after="0" w:line="225" w:lineRule="auto"/>
        <w:tabs>
          <w:tab w:leader="none" w:pos="1180" w:val="left"/>
        </w:tabs>
        <w:numPr>
          <w:ilvl w:val="1"/>
          <w:numId w:val="290"/>
        </w:numPr>
        <w:rPr>
          <w:rFonts w:ascii="Calibri" w:cs="Calibri" w:eastAsia="Calibri" w:hAnsi="Calibri"/>
          <w:sz w:val="18"/>
          <w:szCs w:val="18"/>
          <w:color w:val="auto"/>
        </w:rPr>
      </w:pPr>
      <w:r>
        <w:rPr>
          <w:rFonts w:ascii="Calibri" w:cs="Calibri" w:eastAsia="Calibri" w:hAnsi="Calibri"/>
          <w:sz w:val="18"/>
          <w:szCs w:val="18"/>
          <w:color w:val="auto"/>
        </w:rPr>
        <w:t>no Event of Default has occurred which is contnuing nor any Event of Default (including, without limitaton, any breach of Clause 12.5) will occur as a result of such amalgamaton, merger or de-merger, acquisiton, divesture, split-up or any form of reconstructon or reorganisaton;</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0"/>
        </w:numPr>
        <w:rPr>
          <w:rFonts w:ascii="Calibri" w:cs="Calibri" w:eastAsia="Calibri" w:hAnsi="Calibri"/>
          <w:sz w:val="18"/>
          <w:szCs w:val="18"/>
          <w:color w:val="auto"/>
        </w:rPr>
      </w:pPr>
      <w:r>
        <w:rPr>
          <w:rFonts w:ascii="Calibri" w:cs="Calibri" w:eastAsia="Calibri" w:hAnsi="Calibri"/>
          <w:sz w:val="18"/>
          <w:szCs w:val="18"/>
          <w:color w:val="auto"/>
        </w:rPr>
        <w:t>change, or allow the Owner to change, its Financial Year;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0"/>
        </w:numPr>
        <w:rPr>
          <w:rFonts w:ascii="Calibri" w:cs="Calibri" w:eastAsia="Calibri" w:hAnsi="Calibri"/>
          <w:sz w:val="18"/>
          <w:szCs w:val="18"/>
          <w:color w:val="auto"/>
        </w:rPr>
      </w:pPr>
      <w:r>
        <w:rPr>
          <w:rFonts w:ascii="Calibri" w:cs="Calibri" w:eastAsia="Calibri" w:hAnsi="Calibri"/>
          <w:sz w:val="18"/>
          <w:szCs w:val="18"/>
          <w:color w:val="auto"/>
        </w:rPr>
        <w:t>change its auditors without notfying the Agent promptly afer the occurrence of such change.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12.4</w:t>
        <w:tab/>
        <w:t>Subordinaton of rights of Borrower</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All rights which the Borrower at any tme has against the Owner or its assets shall be fully subordinated to the rights of the Lenders under the Finance Documents; and in partcular, the Borrower shall not during the Security Period:</w:t>
      </w:r>
    </w:p>
    <w:p>
      <w:pPr>
        <w:spacing w:after="0" w:line="184" w:lineRule="exact"/>
        <w:rPr>
          <w:sz w:val="20"/>
          <w:szCs w:val="20"/>
          <w:color w:val="auto"/>
        </w:rPr>
      </w:pPr>
    </w:p>
    <w:p>
      <w:pPr>
        <w:ind w:left="580" w:hanging="580"/>
        <w:spacing w:after="0" w:line="228" w:lineRule="auto"/>
        <w:tabs>
          <w:tab w:leader="none" w:pos="580" w:val="left"/>
        </w:tabs>
        <w:numPr>
          <w:ilvl w:val="0"/>
          <w:numId w:val="291"/>
        </w:numPr>
        <w:rPr>
          <w:rFonts w:ascii="Calibri" w:cs="Calibri" w:eastAsia="Calibri" w:hAnsi="Calibri"/>
          <w:sz w:val="18"/>
          <w:szCs w:val="18"/>
          <w:color w:val="auto"/>
        </w:rPr>
      </w:pPr>
      <w:r>
        <w:rPr>
          <w:rFonts w:ascii="Calibri" w:cs="Calibri" w:eastAsia="Calibri" w:hAnsi="Calibri"/>
          <w:sz w:val="18"/>
          <w:szCs w:val="18"/>
          <w:color w:val="auto"/>
        </w:rPr>
        <w:t>claim, or in a bankruptcy of the Owner prove for, any amount payable to the Borrower by the Owner, whether in respect of this or any other transacton;</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1"/>
        </w:numPr>
        <w:rPr>
          <w:rFonts w:ascii="Calibri" w:cs="Calibri" w:eastAsia="Calibri" w:hAnsi="Calibri"/>
          <w:sz w:val="18"/>
          <w:szCs w:val="18"/>
          <w:color w:val="auto"/>
        </w:rPr>
      </w:pPr>
      <w:r>
        <w:rPr>
          <w:rFonts w:ascii="Calibri" w:cs="Calibri" w:eastAsia="Calibri" w:hAnsi="Calibri"/>
          <w:sz w:val="18"/>
          <w:szCs w:val="18"/>
          <w:color w:val="auto"/>
        </w:rPr>
        <w:t>take or enforce any Security Interest for any such amount;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1"/>
        </w:numPr>
        <w:rPr>
          <w:rFonts w:ascii="Calibri" w:cs="Calibri" w:eastAsia="Calibri" w:hAnsi="Calibri"/>
          <w:sz w:val="18"/>
          <w:szCs w:val="18"/>
          <w:color w:val="auto"/>
        </w:rPr>
      </w:pPr>
      <w:r>
        <w:rPr>
          <w:rFonts w:ascii="Calibri" w:cs="Calibri" w:eastAsia="Calibri" w:hAnsi="Calibri"/>
          <w:sz w:val="18"/>
          <w:szCs w:val="18"/>
          <w:color w:val="auto"/>
        </w:rPr>
        <w:t>claim to set-of any such amount against any amount payable by the Borrower to the Owner.</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12.5</w:t>
        <w:tab/>
        <w:t>Financial Covenants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ensure that at all tmes:</w:t>
      </w:r>
    </w:p>
    <w:p>
      <w:pPr>
        <w:spacing w:after="0" w:line="181" w:lineRule="exact"/>
        <w:rPr>
          <w:sz w:val="20"/>
          <w:szCs w:val="20"/>
          <w:color w:val="auto"/>
        </w:rPr>
      </w:pPr>
    </w:p>
    <w:p>
      <w:pPr>
        <w:ind w:left="580" w:hanging="580"/>
        <w:spacing w:after="0"/>
        <w:tabs>
          <w:tab w:leader="none" w:pos="580" w:val="left"/>
        </w:tabs>
        <w:numPr>
          <w:ilvl w:val="0"/>
          <w:numId w:val="292"/>
        </w:numPr>
        <w:rPr>
          <w:rFonts w:ascii="Calibri" w:cs="Calibri" w:eastAsia="Calibri" w:hAnsi="Calibri"/>
          <w:sz w:val="18"/>
          <w:szCs w:val="18"/>
          <w:color w:val="auto"/>
        </w:rPr>
      </w:pPr>
      <w:r>
        <w:rPr>
          <w:rFonts w:ascii="Calibri" w:cs="Calibri" w:eastAsia="Calibri" w:hAnsi="Calibri"/>
          <w:sz w:val="18"/>
          <w:szCs w:val="18"/>
          <w:color w:val="auto"/>
        </w:rPr>
        <w:t>the Leverage Rato shall be less than 75 per cent.;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92"/>
        </w:numPr>
        <w:rPr>
          <w:rFonts w:ascii="Calibri" w:cs="Calibri" w:eastAsia="Calibri" w:hAnsi="Calibri"/>
          <w:sz w:val="18"/>
          <w:szCs w:val="18"/>
          <w:color w:val="auto"/>
        </w:rPr>
      </w:pPr>
      <w:r>
        <w:rPr>
          <w:rFonts w:ascii="Calibri" w:cs="Calibri" w:eastAsia="Calibri" w:hAnsi="Calibri"/>
          <w:sz w:val="18"/>
          <w:szCs w:val="18"/>
          <w:color w:val="auto"/>
        </w:rPr>
        <w:t>the Borrower and other members of the Group maintain immediately freely available and unencumbered bank or cash deposits (including tme deposits and the amounts standing to</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3" w:name="page194"/>
    <w:bookmarkEnd w:id="193"/>
    <w:p>
      <w:pPr>
        <w:ind w:left="600"/>
        <w:spacing w:after="0"/>
        <w:rPr>
          <w:sz w:val="20"/>
          <w:szCs w:val="20"/>
          <w:color w:val="auto"/>
        </w:rPr>
      </w:pPr>
      <w:r>
        <w:rPr>
          <w:rFonts w:ascii="Calibri" w:cs="Calibri" w:eastAsia="Calibri" w:hAnsi="Calibri"/>
          <w:sz w:val="18"/>
          <w:szCs w:val="18"/>
          <w:color w:val="auto"/>
        </w:rPr>
        <w:t>the credit of the Retenton Account) in an amount of not less than the product of (i) $500,000 and (ii) the number of Fleet Vessels at the tme; and</w:t>
      </w:r>
    </w:p>
    <w:p>
      <w:pPr>
        <w:spacing w:after="0" w:line="379" w:lineRule="exact"/>
        <w:rPr>
          <w:sz w:val="20"/>
          <w:szCs w:val="20"/>
          <w:color w:val="auto"/>
        </w:rPr>
      </w:pPr>
    </w:p>
    <w:p>
      <w:pPr>
        <w:ind w:left="580" w:hanging="580"/>
        <w:spacing w:after="0"/>
        <w:tabs>
          <w:tab w:leader="none" w:pos="580" w:val="left"/>
        </w:tabs>
        <w:numPr>
          <w:ilvl w:val="0"/>
          <w:numId w:val="293"/>
        </w:numPr>
        <w:rPr>
          <w:rFonts w:ascii="Calibri" w:cs="Calibri" w:eastAsia="Calibri" w:hAnsi="Calibri"/>
          <w:sz w:val="18"/>
          <w:szCs w:val="18"/>
          <w:color w:val="auto"/>
        </w:rPr>
      </w:pPr>
      <w:r>
        <w:rPr>
          <w:rFonts w:ascii="Calibri" w:cs="Calibri" w:eastAsia="Calibri" w:hAnsi="Calibri"/>
          <w:sz w:val="18"/>
          <w:szCs w:val="18"/>
          <w:color w:val="auto"/>
        </w:rPr>
        <w:t>the rato of EBITDA to Net Interest Expense shall be no less than 2:1.</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12.6</w:t>
        <w:tab/>
        <w:t>Equal treatment</w:t>
      </w:r>
    </w:p>
    <w:p>
      <w:pPr>
        <w:spacing w:after="0" w:line="183" w:lineRule="exact"/>
        <w:rPr>
          <w:sz w:val="20"/>
          <w:szCs w:val="20"/>
          <w:color w:val="auto"/>
        </w:rPr>
      </w:pPr>
    </w:p>
    <w:p>
      <w:pPr>
        <w:jc w:val="both"/>
        <w:ind w:left="580" w:hanging="580"/>
        <w:spacing w:after="0" w:line="223" w:lineRule="auto"/>
        <w:tabs>
          <w:tab w:leader="none" w:pos="580" w:val="left"/>
        </w:tabs>
        <w:numPr>
          <w:ilvl w:val="0"/>
          <w:numId w:val="294"/>
        </w:numPr>
        <w:rPr>
          <w:rFonts w:ascii="Calibri" w:cs="Calibri" w:eastAsia="Calibri" w:hAnsi="Calibri"/>
          <w:sz w:val="18"/>
          <w:szCs w:val="18"/>
          <w:color w:val="auto"/>
        </w:rPr>
      </w:pPr>
      <w:r>
        <w:rPr>
          <w:rFonts w:ascii="Calibri" w:cs="Calibri" w:eastAsia="Calibri" w:hAnsi="Calibri"/>
          <w:sz w:val="18"/>
          <w:szCs w:val="18"/>
          <w:color w:val="auto"/>
        </w:rPr>
        <w:t>The Borrower confrms that as at the date of this Agreement the fnancial covenants, including without limitaton the asset cover rato requirement set out in Clause 15.1 and the dividend restrictons set out in Clause 12.3(b), applicable to the Borrower pursuant to this Agreement, place no lender or other credit provider of the Borrower or any other member of the Group in a more favourable positon than that applicable to the Creditor Partes pursuant to the Finance Documents.</w:t>
      </w:r>
    </w:p>
    <w:p>
      <w:pPr>
        <w:spacing w:after="0" w:line="185" w:lineRule="exact"/>
        <w:rPr>
          <w:rFonts w:ascii="Calibri" w:cs="Calibri" w:eastAsia="Calibri" w:hAnsi="Calibri"/>
          <w:sz w:val="18"/>
          <w:szCs w:val="18"/>
          <w:color w:val="auto"/>
        </w:rPr>
      </w:pPr>
    </w:p>
    <w:p>
      <w:pPr>
        <w:jc w:val="both"/>
        <w:ind w:left="580" w:hanging="580"/>
        <w:spacing w:after="0"/>
        <w:tabs>
          <w:tab w:leader="none" w:pos="580" w:val="left"/>
        </w:tabs>
        <w:numPr>
          <w:ilvl w:val="0"/>
          <w:numId w:val="294"/>
        </w:numPr>
        <w:rPr>
          <w:rFonts w:ascii="Calibri" w:cs="Calibri" w:eastAsia="Calibri" w:hAnsi="Calibri"/>
          <w:sz w:val="18"/>
          <w:szCs w:val="18"/>
          <w:color w:val="auto"/>
        </w:rPr>
      </w:pPr>
      <w:r>
        <w:rPr>
          <w:rFonts w:ascii="Calibri" w:cs="Calibri" w:eastAsia="Calibri" w:hAnsi="Calibri"/>
          <w:sz w:val="18"/>
          <w:szCs w:val="18"/>
          <w:color w:val="auto"/>
        </w:rPr>
        <w:t>If, in the opinion of the Agent (actng on the instructons of the Lenders), the Borrower or any other member of the Group agrees with any lender or other credit provider in the context of a fnancing made or to be made available to that member of the Group, fnancial covenants including without limitaton any asset cover rato and dividend restrictons (the "</w:t>
      </w:r>
      <w:r>
        <w:rPr>
          <w:rFonts w:ascii="Calibri" w:cs="Calibri" w:eastAsia="Calibri" w:hAnsi="Calibri"/>
          <w:sz w:val="18"/>
          <w:szCs w:val="18"/>
          <w:b w:val="1"/>
          <w:bCs w:val="1"/>
          <w:color w:val="auto"/>
        </w:rPr>
        <w:t>Covenants</w:t>
      </w:r>
      <w:r>
        <w:rPr>
          <w:rFonts w:ascii="Calibri" w:cs="Calibri" w:eastAsia="Calibri" w:hAnsi="Calibri"/>
          <w:sz w:val="18"/>
          <w:szCs w:val="18"/>
          <w:color w:val="auto"/>
        </w:rPr>
        <w:t>"), which place such lender or credit provider in a more favourable positon than that applicable to the Creditor Partes pursuant to the Finance Documents, the Borrower shall, or shall procure that any Security Party or any other member of the Group shall give the Creditor Partes the beneft of such Covenants which, in the opinion of the Creditor Partes, would place them in an equivalent positon as that applicable to the other lender or credit provider at the relevant tme. The Borrower and the Owner shall also enter, if required by the Agent (actng on the instructons of all Lenders), into a supplemental agreement to this Agreement or, as the case may be, any of the other Finance Documents, to amend each such document accordingly (with such supplemental agreement or agreements being entered into on or immediately afer the date on which the Covenants are granted).</w:t>
      </w:r>
    </w:p>
    <w:p>
      <w:pPr>
        <w:spacing w:after="0" w:line="225"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12.7</w:t>
        <w:tab/>
        <w:t>Borrower's and Owner's subsidiaries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and Owner have provided the Agent on or before the date of this Agreement with a list of their subsidiaries as included in their annual audited fnancial statements (together with any informaton requested by the Agent pursuant to Clause 11.6(c) in respect of such subsidiaries) and shall ensure to include an updated list of their actve subsidiaries in each set of fnancial statements to be provided to the Agent pursuant to Clause 11.6.</w:t>
      </w:r>
    </w:p>
    <w:p>
      <w:pPr>
        <w:spacing w:after="0" w:line="183" w:lineRule="exact"/>
        <w:rPr>
          <w:sz w:val="20"/>
          <w:szCs w:val="20"/>
          <w:color w:val="auto"/>
        </w:rPr>
      </w:pPr>
    </w:p>
    <w:p>
      <w:pPr>
        <w:ind w:left="580" w:hanging="580"/>
        <w:spacing w:after="0"/>
        <w:tabs>
          <w:tab w:leader="none" w:pos="580" w:val="left"/>
        </w:tabs>
        <w:numPr>
          <w:ilvl w:val="0"/>
          <w:numId w:val="29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INSURANCE</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29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also undertakes with each Creditor Party to procure that the Owner complies with the following provisions of this Clause 13 as from the Drawdown Date and at all tmes thereafer during the Security Period except as the Agent, actng with the authorisaton of the Majority Lenders, may otherwise permit in writng.</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13.2</w:t>
        <w:tab/>
        <w:t>Maintenance of obligatory insurances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 keep the Ship insured at its own expense against:</w:t>
      </w:r>
    </w:p>
    <w:p>
      <w:pPr>
        <w:spacing w:after="0" w:line="181" w:lineRule="exact"/>
        <w:rPr>
          <w:sz w:val="20"/>
          <w:szCs w:val="20"/>
          <w:color w:val="auto"/>
        </w:rPr>
      </w:pPr>
    </w:p>
    <w:p>
      <w:pPr>
        <w:ind w:left="580" w:hanging="580"/>
        <w:spacing w:after="0"/>
        <w:tabs>
          <w:tab w:leader="none" w:pos="580" w:val="left"/>
        </w:tabs>
        <w:numPr>
          <w:ilvl w:val="0"/>
          <w:numId w:val="297"/>
        </w:numPr>
        <w:rPr>
          <w:rFonts w:ascii="Calibri" w:cs="Calibri" w:eastAsia="Calibri" w:hAnsi="Calibri"/>
          <w:sz w:val="18"/>
          <w:szCs w:val="18"/>
          <w:color w:val="auto"/>
        </w:rPr>
      </w:pPr>
      <w:r>
        <w:rPr>
          <w:rFonts w:ascii="Calibri" w:cs="Calibri" w:eastAsia="Calibri" w:hAnsi="Calibri"/>
          <w:sz w:val="18"/>
          <w:szCs w:val="18"/>
          <w:color w:val="auto"/>
        </w:rPr>
        <w:t>fre and usual marine risks (including hull and machinery and excess risks);</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4" w:name="page195"/>
    <w:bookmarkEnd w:id="194"/>
    <w:p>
      <w:pPr>
        <w:ind w:left="580" w:hanging="580"/>
        <w:spacing w:after="0"/>
        <w:tabs>
          <w:tab w:leader="none" w:pos="580" w:val="left"/>
        </w:tabs>
        <w:numPr>
          <w:ilvl w:val="0"/>
          <w:numId w:val="298"/>
        </w:numPr>
        <w:rPr>
          <w:rFonts w:ascii="Calibri" w:cs="Calibri" w:eastAsia="Calibri" w:hAnsi="Calibri"/>
          <w:sz w:val="18"/>
          <w:szCs w:val="18"/>
          <w:color w:val="auto"/>
        </w:rPr>
      </w:pPr>
      <w:r>
        <w:rPr>
          <w:rFonts w:ascii="Calibri" w:cs="Calibri" w:eastAsia="Calibri" w:hAnsi="Calibri"/>
          <w:sz w:val="18"/>
          <w:szCs w:val="18"/>
          <w:color w:val="auto"/>
        </w:rPr>
        <w:t>war risks (including, without limitaton, protecton and indemnity war risks with a separate limit not less than hull value of the Ship);</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98"/>
        </w:numPr>
        <w:rPr>
          <w:rFonts w:ascii="Calibri" w:cs="Calibri" w:eastAsia="Calibri" w:hAnsi="Calibri"/>
          <w:sz w:val="18"/>
          <w:szCs w:val="18"/>
          <w:color w:val="auto"/>
        </w:rPr>
      </w:pPr>
      <w:r>
        <w:rPr>
          <w:rFonts w:ascii="Calibri" w:cs="Calibri" w:eastAsia="Calibri" w:hAnsi="Calibri"/>
          <w:sz w:val="18"/>
          <w:szCs w:val="18"/>
          <w:color w:val="auto"/>
        </w:rPr>
        <w:t>protecton and indemnity risks (including, without limitaton protecton and indemnity war risks in excess of the amount for war risks (hull) and oil polluton liability risks in each case in the highest amount available in the internatonal insurance market); and</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98"/>
        </w:numPr>
        <w:rPr>
          <w:rFonts w:ascii="Calibri" w:cs="Calibri" w:eastAsia="Calibri" w:hAnsi="Calibri"/>
          <w:sz w:val="18"/>
          <w:szCs w:val="18"/>
          <w:color w:val="auto"/>
        </w:rPr>
      </w:pPr>
      <w:r>
        <w:rPr>
          <w:rFonts w:ascii="Calibri" w:cs="Calibri" w:eastAsia="Calibri" w:hAnsi="Calibri"/>
          <w:sz w:val="18"/>
          <w:szCs w:val="18"/>
          <w:color w:val="auto"/>
        </w:rPr>
        <w:t>any other risks the insurance of which the Security Trustee actng on the instructons of the Majority Lenders, having regard to practces, recommendatons and other circumstances prevailing at the relevant tme, may from tme to tme require by notce to the Borrower (excluding loss of hire insurance).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13.3</w:t>
        <w:tab/>
        <w:t>Terms of obligatory insurances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procure that the Owner shall efect such insurances in such amounts in such currency and upon such terms and conditons (including, without limitaton, any LSW 1189 or, in the opinion of the Security Trustee, comparable mortgage clause) as shall from tme to tme be approved in writng by the Security Trustee in its sole discreton, but in any event as follows:</w:t>
      </w:r>
    </w:p>
    <w:p>
      <w:pPr>
        <w:spacing w:after="0" w:line="182" w:lineRule="exact"/>
        <w:rPr>
          <w:sz w:val="20"/>
          <w:szCs w:val="20"/>
          <w:color w:val="auto"/>
        </w:rPr>
      </w:pPr>
    </w:p>
    <w:p>
      <w:pPr>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in Dollars;</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in the case of fre and usual marine risks and war risks, on an agreed value basis in an amount equal to at least the higher of:</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99"/>
        </w:numPr>
        <w:rPr>
          <w:rFonts w:ascii="Calibri" w:cs="Calibri" w:eastAsia="Calibri" w:hAnsi="Calibri"/>
          <w:sz w:val="18"/>
          <w:szCs w:val="18"/>
          <w:color w:val="auto"/>
        </w:rPr>
      </w:pPr>
      <w:r>
        <w:rPr>
          <w:rFonts w:ascii="Calibri" w:cs="Calibri" w:eastAsia="Calibri" w:hAnsi="Calibri"/>
          <w:sz w:val="18"/>
          <w:szCs w:val="18"/>
          <w:color w:val="auto"/>
        </w:rPr>
        <w:t>an amount equal to 120 per cent. of the aggregate of:</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299"/>
        </w:numPr>
        <w:rPr>
          <w:rFonts w:ascii="Calibri" w:cs="Calibri" w:eastAsia="Calibri" w:hAnsi="Calibri"/>
          <w:sz w:val="18"/>
          <w:szCs w:val="18"/>
          <w:color w:val="auto"/>
        </w:rPr>
      </w:pPr>
      <w:r>
        <w:rPr>
          <w:rFonts w:ascii="Calibri" w:cs="Calibri" w:eastAsia="Calibri" w:hAnsi="Calibri"/>
          <w:sz w:val="18"/>
          <w:szCs w:val="18"/>
          <w:color w:val="auto"/>
        </w:rPr>
        <w:t>the Loan; and</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299"/>
        </w:numPr>
        <w:rPr>
          <w:rFonts w:ascii="Calibri" w:cs="Calibri" w:eastAsia="Calibri" w:hAnsi="Calibri"/>
          <w:sz w:val="18"/>
          <w:szCs w:val="18"/>
          <w:color w:val="auto"/>
        </w:rPr>
      </w:pPr>
      <w:r>
        <w:rPr>
          <w:rFonts w:ascii="Calibri" w:cs="Calibri" w:eastAsia="Calibri" w:hAnsi="Calibri"/>
          <w:sz w:val="18"/>
          <w:szCs w:val="18"/>
          <w:color w:val="auto"/>
        </w:rPr>
        <w:t>the principal amount secured by any equal or prior ranking Security Interest on the Ship;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299"/>
        </w:numPr>
        <w:rPr>
          <w:rFonts w:ascii="Calibri" w:cs="Calibri" w:eastAsia="Calibri" w:hAnsi="Calibri"/>
          <w:sz w:val="18"/>
          <w:szCs w:val="18"/>
          <w:color w:val="auto"/>
        </w:rPr>
      </w:pPr>
      <w:r>
        <w:rPr>
          <w:rFonts w:ascii="Calibri" w:cs="Calibri" w:eastAsia="Calibri" w:hAnsi="Calibri"/>
          <w:sz w:val="18"/>
          <w:szCs w:val="18"/>
          <w:color w:val="auto"/>
        </w:rPr>
        <w:t>the Market Value of the Ship,</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in the case of oil polluton liability risks, for an amount equal to the highest level of cover from tme to tme available under basic protecton and indemnity club entry (with the Internatonal Group of Protecton and Indemnity Clubs) and the internatonal marine insurance market (currently $1,000,000,000 for any one accident or occurrence);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in relaton to protecton and indemnity risks in respect of the full value and tonnage of the Ship;</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in relaton to war risks insurance, extended to cover piracy and terrorism where excluded under the fre and usual marine risks insurance;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on approved terms and conditons;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such other risks of whatever nature and howsoever arising in respect of which insurance would be maintained by a prudent owner of a vessel similar to the Ship; and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299"/>
        </w:numPr>
        <w:rPr>
          <w:rFonts w:ascii="Calibri" w:cs="Calibri" w:eastAsia="Calibri" w:hAnsi="Calibri"/>
          <w:sz w:val="18"/>
          <w:szCs w:val="18"/>
          <w:color w:val="auto"/>
        </w:rPr>
      </w:pPr>
      <w:r>
        <w:rPr>
          <w:rFonts w:ascii="Calibri" w:cs="Calibri" w:eastAsia="Calibri" w:hAnsi="Calibri"/>
          <w:sz w:val="18"/>
          <w:szCs w:val="18"/>
          <w:color w:val="auto"/>
        </w:rPr>
        <w:t>through approved brokers and with approved insurance companies and/or underwriters which have a Standard &amp; Poor's ratng of at least BBB- or a comparable ratng by any other ratng agency acceptable to the Security Trustee (actng on the instructons of the Majority Lenders)</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95" w:name="page196"/>
    <w:bookmarkEnd w:id="195"/>
    <w:p>
      <w:pPr>
        <w:ind w:left="600"/>
        <w:spacing w:after="0" w:line="228" w:lineRule="auto"/>
        <w:rPr>
          <w:sz w:val="20"/>
          <w:szCs w:val="20"/>
          <w:color w:val="auto"/>
        </w:rPr>
      </w:pPr>
      <w:r>
        <w:rPr>
          <w:rFonts w:ascii="Calibri" w:cs="Calibri" w:eastAsia="Calibri" w:hAnsi="Calibri"/>
          <w:sz w:val="18"/>
          <w:szCs w:val="18"/>
          <w:color w:val="auto"/>
        </w:rPr>
        <w:t>or, in the case of war risks and protecton and indemnity risks, in approved war risks and protecton and indemnity risks associatons which are members of the Internatonal Group of Protecton and Indemnity Clubs.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13.4</w:t>
        <w:tab/>
        <w:t>Further protectons for the Creditor Partes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additon to the terms set out in Clause 13.3, the Borrower shall procure that the obligatory insurances shall:</w:t>
      </w:r>
    </w:p>
    <w:p>
      <w:pPr>
        <w:spacing w:after="0" w:line="183" w:lineRule="exact"/>
        <w:rPr>
          <w:sz w:val="20"/>
          <w:szCs w:val="20"/>
          <w:color w:val="auto"/>
        </w:rPr>
      </w:pPr>
    </w:p>
    <w:p>
      <w:pPr>
        <w:ind w:left="580" w:hanging="580"/>
        <w:spacing w:after="0" w:line="228"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Borrower, the Owner and any and all third partes who are named assured or co-assured under any obligatory insurance shall assign their interest in any and all obligatory insurances and other Insurances if so required by the Agent;</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whenever the Security Trustee requires, the obligatory insurances name (or be amended to name) the Security Trustee as additonal named assured for its rights and interests, warranted no operatonal interest and with full waiver of rights of subrogaton they may have under any applicable law against the Security Trustee but without the Security Trustee thereby being liable to pay (but having the right to pay) premiums, calls or other assessments in respect of such insurance;</w:t>
      </w:r>
    </w:p>
    <w:p>
      <w:pPr>
        <w:spacing w:after="0" w:line="185"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interest of the Security Trustee as assignee and as loss payee shall be duly endorsed on all slips, cover notes, policies, certfcates of entry or other instruments of insurance in respect of the obligatory insurances;</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name the Security Trustee as sole loss payee with such directons for payment as the Security Trustee may specify;</w:t>
      </w:r>
    </w:p>
    <w:p>
      <w:pPr>
        <w:spacing w:after="0" w:line="381"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provide that all payments by or on behalf of the insurers under the obligatory insurances to the Security Trustee shall be made without set-of, counterclaim or deductons or conditon whatsoever;</w:t>
      </w:r>
    </w:p>
    <w:p>
      <w:pPr>
        <w:spacing w:after="0" w:line="183" w:lineRule="exact"/>
        <w:rPr>
          <w:rFonts w:ascii="Calibri" w:cs="Calibri" w:eastAsia="Calibri" w:hAnsi="Calibri"/>
          <w:sz w:val="18"/>
          <w:szCs w:val="18"/>
          <w:color w:val="auto"/>
        </w:rPr>
      </w:pPr>
    </w:p>
    <w:p>
      <w:pPr>
        <w:jc w:val="both"/>
        <w:ind w:left="580" w:hanging="580"/>
        <w:spacing w:after="0" w:line="222"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provide that the insurers shall waive, to the fullest extent permited by English law, their enttlement (if any) (whether by statute, common law, equity, or otherwise) to be subrogated to the rights and remedies of the Security Trustee in respect of any rights or interests (secured or not) held by or available to the Security Trustee in respect of the Secured Liabilites, untl the Secured Liabilites shall have been fully repaid and discharged, except that the insurers shall not be restricted by the terms of this paragraph (f) from making personal claims against persons (other than the Owner or any Creditor Party) in circumstances where the insurers have fully discharged their liabilites and obligatons under the relevant obligatory insurances;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provide that the obligatory insurances shall be primary without right of contributon from other insurances efected by the Security Trustee or any other Creditor Party;</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provide that the Security Trustee may make proof of loss if the Owner fails to do so; and</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00"/>
        </w:numPr>
        <w:rPr>
          <w:rFonts w:ascii="Calibri" w:cs="Calibri" w:eastAsia="Calibri" w:hAnsi="Calibri"/>
          <w:sz w:val="18"/>
          <w:szCs w:val="18"/>
          <w:color w:val="auto"/>
        </w:rPr>
      </w:pPr>
      <w:r>
        <w:rPr>
          <w:rFonts w:ascii="Calibri" w:cs="Calibri" w:eastAsia="Calibri" w:hAnsi="Calibri"/>
          <w:sz w:val="18"/>
          <w:szCs w:val="18"/>
          <w:color w:val="auto"/>
        </w:rPr>
        <w:t>the obligatory insurances shall provide that if any obligatory insurance is cancelled, or if any substantal change is made in the coverage which adversely afects the interest of the Security Trustee, or if any obligatory insurance is allowed to lapse for non-payment of premium, such cancellaton, charge or lapse shall only be efectve against the Security Trustee 14 days (or 7</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6" w:name="page197"/>
    <w:bookmarkEnd w:id="196"/>
    <w:p>
      <w:pPr>
        <w:ind w:left="600"/>
        <w:spacing w:after="0"/>
        <w:rPr>
          <w:sz w:val="20"/>
          <w:szCs w:val="20"/>
          <w:color w:val="auto"/>
        </w:rPr>
      </w:pPr>
      <w:r>
        <w:rPr>
          <w:rFonts w:ascii="Calibri" w:cs="Calibri" w:eastAsia="Calibri" w:hAnsi="Calibri"/>
          <w:sz w:val="18"/>
          <w:szCs w:val="18"/>
          <w:color w:val="auto"/>
        </w:rPr>
        <w:t>days in the case of war risks) afer receipt by the Security Trustee of prior writen notce from the insurers of such cancellaton, change or lapse.</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13.5</w:t>
        <w:tab/>
        <w:t>Renewal of obligatory insurances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w:t>
      </w:r>
    </w:p>
    <w:p>
      <w:pPr>
        <w:spacing w:after="0" w:line="181" w:lineRule="exact"/>
        <w:rPr>
          <w:sz w:val="20"/>
          <w:szCs w:val="20"/>
          <w:color w:val="auto"/>
        </w:rPr>
      </w:pPr>
    </w:p>
    <w:p>
      <w:pPr>
        <w:ind w:left="580" w:hanging="580"/>
        <w:spacing w:after="0"/>
        <w:tabs>
          <w:tab w:leader="none" w:pos="580" w:val="left"/>
        </w:tabs>
        <w:numPr>
          <w:ilvl w:val="0"/>
          <w:numId w:val="301"/>
        </w:numPr>
        <w:rPr>
          <w:rFonts w:ascii="Calibri" w:cs="Calibri" w:eastAsia="Calibri" w:hAnsi="Calibri"/>
          <w:sz w:val="18"/>
          <w:szCs w:val="18"/>
          <w:color w:val="auto"/>
        </w:rPr>
      </w:pPr>
      <w:r>
        <w:rPr>
          <w:rFonts w:ascii="Calibri" w:cs="Calibri" w:eastAsia="Calibri" w:hAnsi="Calibri"/>
          <w:sz w:val="18"/>
          <w:szCs w:val="18"/>
          <w:color w:val="auto"/>
        </w:rPr>
        <w:t>at least 10 days before the expiry of any obligatory insurance efected by it:</w:t>
      </w:r>
    </w:p>
    <w:p>
      <w:pPr>
        <w:spacing w:after="0" w:line="183" w:lineRule="exact"/>
        <w:rPr>
          <w:rFonts w:ascii="Calibri" w:cs="Calibri" w:eastAsia="Calibri" w:hAnsi="Calibri"/>
          <w:sz w:val="18"/>
          <w:szCs w:val="18"/>
          <w:color w:val="auto"/>
        </w:rPr>
      </w:pPr>
    </w:p>
    <w:p>
      <w:pPr>
        <w:jc w:val="both"/>
        <w:ind w:left="1180" w:hanging="591"/>
        <w:spacing w:after="0"/>
        <w:tabs>
          <w:tab w:leader="none" w:pos="1180" w:val="left"/>
        </w:tabs>
        <w:numPr>
          <w:ilvl w:val="1"/>
          <w:numId w:val="301"/>
        </w:numPr>
        <w:rPr>
          <w:rFonts w:ascii="Calibri" w:cs="Calibri" w:eastAsia="Calibri" w:hAnsi="Calibri"/>
          <w:sz w:val="18"/>
          <w:szCs w:val="18"/>
          <w:color w:val="auto"/>
        </w:rPr>
      </w:pPr>
      <w:r>
        <w:rPr>
          <w:rFonts w:ascii="Calibri" w:cs="Calibri" w:eastAsia="Calibri" w:hAnsi="Calibri"/>
          <w:sz w:val="18"/>
          <w:szCs w:val="18"/>
          <w:color w:val="auto"/>
        </w:rPr>
        <w:t>notfy the Security Trustee of the brokers, underwriters, insurance companies and any protecton and indemnity or war risks associaton through or with whom the Owner proposes to renew that obligatory insurance and of the proposed terms of renewal; and</w:t>
      </w:r>
    </w:p>
    <w:p>
      <w:pPr>
        <w:spacing w:after="0" w:line="360" w:lineRule="exact"/>
        <w:rPr>
          <w:rFonts w:ascii="Calibri" w:cs="Calibri" w:eastAsia="Calibri" w:hAnsi="Calibri"/>
          <w:sz w:val="18"/>
          <w:szCs w:val="18"/>
          <w:color w:val="auto"/>
        </w:rPr>
      </w:pPr>
    </w:p>
    <w:p>
      <w:pPr>
        <w:ind w:left="1180" w:hanging="591"/>
        <w:spacing w:after="0"/>
        <w:tabs>
          <w:tab w:leader="none" w:pos="1180" w:val="left"/>
        </w:tabs>
        <w:numPr>
          <w:ilvl w:val="1"/>
          <w:numId w:val="301"/>
        </w:numPr>
        <w:rPr>
          <w:rFonts w:ascii="Calibri" w:cs="Calibri" w:eastAsia="Calibri" w:hAnsi="Calibri"/>
          <w:sz w:val="18"/>
          <w:szCs w:val="18"/>
          <w:color w:val="auto"/>
        </w:rPr>
      </w:pPr>
      <w:r>
        <w:rPr>
          <w:rFonts w:ascii="Calibri" w:cs="Calibri" w:eastAsia="Calibri" w:hAnsi="Calibri"/>
          <w:sz w:val="18"/>
          <w:szCs w:val="18"/>
          <w:color w:val="auto"/>
        </w:rPr>
        <w:t>seek the Security Trustee's approval to the maters referred to in paragraph (i);</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1"/>
        </w:numPr>
        <w:rPr>
          <w:rFonts w:ascii="Calibri" w:cs="Calibri" w:eastAsia="Calibri" w:hAnsi="Calibri"/>
          <w:sz w:val="18"/>
          <w:szCs w:val="18"/>
          <w:color w:val="auto"/>
        </w:rPr>
      </w:pPr>
      <w:r>
        <w:rPr>
          <w:rFonts w:ascii="Calibri" w:cs="Calibri" w:eastAsia="Calibri" w:hAnsi="Calibri"/>
          <w:sz w:val="18"/>
          <w:szCs w:val="18"/>
          <w:color w:val="auto"/>
        </w:rPr>
        <w:t>at least 7 days before the expiry of any obligatory insurance, renew that obligatory insurance in accordance with the Security Trustee's approval pursuant to paragraph (a);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1"/>
        </w:numPr>
        <w:rPr>
          <w:rFonts w:ascii="Calibri" w:cs="Calibri" w:eastAsia="Calibri" w:hAnsi="Calibri"/>
          <w:sz w:val="18"/>
          <w:szCs w:val="18"/>
          <w:color w:val="auto"/>
        </w:rPr>
      </w:pPr>
      <w:r>
        <w:rPr>
          <w:rFonts w:ascii="Calibri" w:cs="Calibri" w:eastAsia="Calibri" w:hAnsi="Calibri"/>
          <w:sz w:val="18"/>
          <w:szCs w:val="18"/>
          <w:color w:val="auto"/>
        </w:rPr>
        <w:t>procure that the approved brokers and/or the war risks and protecton and indemnity associatons with which such a renewal is efected shall promptly afer the renewal notfy the Security Trustee in writng of the terms and conditons of the renewal.</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13.6</w:t>
        <w:tab/>
        <w:t>Copies of policies; leters of undertaking</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procure that the Owner shall ensure that all approved brokers provide the Security Trustee with pro forma copies of all cover notes and policies relatng to the obligatory insurances which they are to efect or renew and of a leter or leters of undertaking in a form required by the Security Trustee and including undertakings by the approved brokers that:</w:t>
      </w:r>
    </w:p>
    <w:p>
      <w:pPr>
        <w:spacing w:after="0" w:line="184" w:lineRule="exact"/>
        <w:rPr>
          <w:sz w:val="20"/>
          <w:szCs w:val="20"/>
          <w:color w:val="auto"/>
        </w:rPr>
      </w:pPr>
    </w:p>
    <w:p>
      <w:pPr>
        <w:ind w:left="580" w:hanging="580"/>
        <w:spacing w:after="0" w:line="228" w:lineRule="auto"/>
        <w:tabs>
          <w:tab w:leader="none" w:pos="580" w:val="left"/>
        </w:tabs>
        <w:numPr>
          <w:ilvl w:val="0"/>
          <w:numId w:val="302"/>
        </w:numPr>
        <w:rPr>
          <w:rFonts w:ascii="Calibri" w:cs="Calibri" w:eastAsia="Calibri" w:hAnsi="Calibri"/>
          <w:sz w:val="18"/>
          <w:szCs w:val="18"/>
          <w:color w:val="auto"/>
        </w:rPr>
      </w:pPr>
      <w:r>
        <w:rPr>
          <w:rFonts w:ascii="Calibri" w:cs="Calibri" w:eastAsia="Calibri" w:hAnsi="Calibri"/>
          <w:sz w:val="18"/>
          <w:szCs w:val="18"/>
          <w:color w:val="auto"/>
        </w:rPr>
        <w:t>they will have endorsed on each policy, immediately upon issue, a loss payable clause and a notce of assignment complying with the provisions of Clause 13.4;</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2"/>
        </w:numPr>
        <w:rPr>
          <w:rFonts w:ascii="Calibri" w:cs="Calibri" w:eastAsia="Calibri" w:hAnsi="Calibri"/>
          <w:sz w:val="18"/>
          <w:szCs w:val="18"/>
          <w:color w:val="auto"/>
        </w:rPr>
      </w:pPr>
      <w:r>
        <w:rPr>
          <w:rFonts w:ascii="Calibri" w:cs="Calibri" w:eastAsia="Calibri" w:hAnsi="Calibri"/>
          <w:sz w:val="18"/>
          <w:szCs w:val="18"/>
          <w:color w:val="auto"/>
        </w:rPr>
        <w:t>they will hold such policies, and the beneft of such insurances, to the order of the Security Trustee in accordance with the said loss payable clause;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02"/>
        </w:numPr>
        <w:rPr>
          <w:rFonts w:ascii="Calibri" w:cs="Calibri" w:eastAsia="Calibri" w:hAnsi="Calibri"/>
          <w:sz w:val="18"/>
          <w:szCs w:val="18"/>
          <w:color w:val="auto"/>
        </w:rPr>
      </w:pPr>
      <w:r>
        <w:rPr>
          <w:rFonts w:ascii="Calibri" w:cs="Calibri" w:eastAsia="Calibri" w:hAnsi="Calibri"/>
          <w:sz w:val="18"/>
          <w:szCs w:val="18"/>
          <w:color w:val="auto"/>
        </w:rPr>
        <w:t>they will advise the Security Trustee immediately of any change to the terms of the obligatory insurances;</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02"/>
        </w:numPr>
        <w:rPr>
          <w:rFonts w:ascii="Calibri" w:cs="Calibri" w:eastAsia="Calibri" w:hAnsi="Calibri"/>
          <w:sz w:val="18"/>
          <w:szCs w:val="18"/>
          <w:color w:val="auto"/>
        </w:rPr>
      </w:pPr>
      <w:r>
        <w:rPr>
          <w:rFonts w:ascii="Calibri" w:cs="Calibri" w:eastAsia="Calibri" w:hAnsi="Calibri"/>
          <w:sz w:val="18"/>
          <w:szCs w:val="18"/>
          <w:color w:val="auto"/>
        </w:rPr>
        <w:t>they will notfy the Security Trustee, not less than 14 days before the expiry of the obligatory insurances, in the event of their not having received notce of renewal instructons from the Owner or its agents and, in the event of their receiving instructons to renew, they will promptly notfy the Security Trustee of the terms of the instructons; and</w:t>
      </w:r>
    </w:p>
    <w:p>
      <w:pPr>
        <w:spacing w:after="0" w:line="183" w:lineRule="exact"/>
        <w:rPr>
          <w:rFonts w:ascii="Calibri" w:cs="Calibri" w:eastAsia="Calibri" w:hAnsi="Calibri"/>
          <w:sz w:val="18"/>
          <w:szCs w:val="18"/>
          <w:color w:val="auto"/>
        </w:rPr>
      </w:pPr>
    </w:p>
    <w:p>
      <w:pPr>
        <w:jc w:val="both"/>
        <w:ind w:left="580" w:hanging="580"/>
        <w:spacing w:after="0" w:line="222" w:lineRule="auto"/>
        <w:tabs>
          <w:tab w:leader="none" w:pos="580" w:val="left"/>
        </w:tabs>
        <w:numPr>
          <w:ilvl w:val="0"/>
          <w:numId w:val="302"/>
        </w:numPr>
        <w:rPr>
          <w:rFonts w:ascii="Calibri" w:cs="Calibri" w:eastAsia="Calibri" w:hAnsi="Calibri"/>
          <w:sz w:val="18"/>
          <w:szCs w:val="18"/>
          <w:color w:val="auto"/>
        </w:rPr>
      </w:pPr>
      <w:r>
        <w:rPr>
          <w:rFonts w:ascii="Calibri" w:cs="Calibri" w:eastAsia="Calibri" w:hAnsi="Calibri"/>
          <w:sz w:val="18"/>
          <w:szCs w:val="18"/>
          <w:color w:val="auto"/>
        </w:rPr>
        <w:t>they will not set of against any sum recoverable in respect of a claim relatng to the Ship under such obligatory insurances any premiums or other amounts due to them or any other person whether in respect of the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the Ship forthwith upon being so requested by the Security Trustee.</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7" w:name="page198"/>
    <w:bookmarkEnd w:id="197"/>
    <w:p>
      <w:pPr>
        <w:spacing w:after="0"/>
        <w:tabs>
          <w:tab w:leader="none" w:pos="560" w:val="left"/>
        </w:tabs>
        <w:rPr>
          <w:sz w:val="20"/>
          <w:szCs w:val="20"/>
          <w:color w:val="auto"/>
        </w:rPr>
      </w:pPr>
      <w:r>
        <w:rPr>
          <w:rFonts w:ascii="Calibri" w:cs="Calibri" w:eastAsia="Calibri" w:hAnsi="Calibri"/>
          <w:sz w:val="18"/>
          <w:szCs w:val="18"/>
          <w:b w:val="1"/>
          <w:bCs w:val="1"/>
          <w:color w:val="auto"/>
        </w:rPr>
        <w:t>13.7</w:t>
        <w:tab/>
        <w:t>Copies of certfcates of entry; leters of undertaking</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shall procure that the Owner shall ensure that any protecton and indemnity and/or war risks associatons in which the Ship is entered provides the Security Trustee with:</w:t>
      </w:r>
    </w:p>
    <w:p>
      <w:pPr>
        <w:spacing w:after="0" w:line="182" w:lineRule="exact"/>
        <w:rPr>
          <w:sz w:val="20"/>
          <w:szCs w:val="20"/>
          <w:color w:val="auto"/>
        </w:rPr>
      </w:pPr>
    </w:p>
    <w:p>
      <w:pPr>
        <w:ind w:left="580" w:hanging="580"/>
        <w:spacing w:after="0"/>
        <w:tabs>
          <w:tab w:leader="none" w:pos="580" w:val="left"/>
        </w:tabs>
        <w:numPr>
          <w:ilvl w:val="0"/>
          <w:numId w:val="303"/>
        </w:numPr>
        <w:rPr>
          <w:rFonts w:ascii="Calibri" w:cs="Calibri" w:eastAsia="Calibri" w:hAnsi="Calibri"/>
          <w:sz w:val="18"/>
          <w:szCs w:val="18"/>
          <w:color w:val="auto"/>
        </w:rPr>
      </w:pPr>
      <w:r>
        <w:rPr>
          <w:rFonts w:ascii="Calibri" w:cs="Calibri" w:eastAsia="Calibri" w:hAnsi="Calibri"/>
          <w:sz w:val="18"/>
          <w:szCs w:val="18"/>
          <w:color w:val="auto"/>
        </w:rPr>
        <w:t>a certfed copy of the certfcate of entry for the Ship;</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03"/>
        </w:numPr>
        <w:rPr>
          <w:rFonts w:ascii="Calibri" w:cs="Calibri" w:eastAsia="Calibri" w:hAnsi="Calibri"/>
          <w:sz w:val="18"/>
          <w:szCs w:val="18"/>
          <w:color w:val="auto"/>
        </w:rPr>
      </w:pPr>
      <w:r>
        <w:rPr>
          <w:rFonts w:ascii="Calibri" w:cs="Calibri" w:eastAsia="Calibri" w:hAnsi="Calibri"/>
          <w:sz w:val="18"/>
          <w:szCs w:val="18"/>
          <w:color w:val="auto"/>
        </w:rPr>
        <w:t>a leter or leters of undertaking in such form as may be required by the Security Trustee;</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03"/>
        </w:numPr>
        <w:rPr>
          <w:rFonts w:ascii="Calibri" w:cs="Calibri" w:eastAsia="Calibri" w:hAnsi="Calibri"/>
          <w:sz w:val="18"/>
          <w:szCs w:val="18"/>
          <w:color w:val="auto"/>
        </w:rPr>
      </w:pPr>
      <w:r>
        <w:rPr>
          <w:rFonts w:ascii="Calibri" w:cs="Calibri" w:eastAsia="Calibri" w:hAnsi="Calibri"/>
          <w:sz w:val="18"/>
          <w:szCs w:val="18"/>
          <w:color w:val="auto"/>
        </w:rPr>
        <w:t>where required to be issued under the terms of insurance/indemnity provided by the Owner's protecton and indemnity associaton, a certfed copy of each United States of America voyage quarterly declaraton (or other similar document or documents) made by the Owner in accordance with the requirements of such protecton and indemnity associaton;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3"/>
        </w:numPr>
        <w:rPr>
          <w:rFonts w:ascii="Calibri" w:cs="Calibri" w:eastAsia="Calibri" w:hAnsi="Calibri"/>
          <w:sz w:val="18"/>
          <w:szCs w:val="18"/>
          <w:color w:val="auto"/>
        </w:rPr>
      </w:pPr>
      <w:r>
        <w:rPr>
          <w:rFonts w:ascii="Calibri" w:cs="Calibri" w:eastAsia="Calibri" w:hAnsi="Calibri"/>
          <w:sz w:val="18"/>
          <w:szCs w:val="18"/>
          <w:color w:val="auto"/>
        </w:rPr>
        <w:t>a certfed copy of each certfcate of fnancial responsibility for polluton by oil or other Environmentally Sensitve Material issued by the relevant certfying authority or, as the case may be, protecton and indemnity associatons in relaton to the Ship (if applicable).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13.8</w:t>
        <w:tab/>
        <w:t>Deposit of original policies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ensure that all policies relatng to obligatory insurances efected by it are deposited with the approved brokers through which the insurances are efected or renewed.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13.9</w:t>
        <w:tab/>
        <w:t>Payment of premiums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punctually pay all premiums or other sums payable in respect of the obligatory insurances efected by it and produce all relevant receipts when so required by the Security Trustee.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13.10</w:t>
        <w:tab/>
        <w:t>Guarantees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ensure that any guarantees required by a protecton and indemnity or war risks associaton are promptly issued and remain in full force and efect.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13.11</w:t>
        <w:tab/>
        <w:t>Compliance with terms of insurances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procure that the Owner shall not do or omit to do (or permit to be done or not to be done) any act or thing which would or might render any obligatory insurance invalid, void, voidable or unenforceable or render any sum payable under an obligatory insurance repayable in whole or in part; and, in partcular:</w:t>
      </w:r>
    </w:p>
    <w:p>
      <w:pPr>
        <w:spacing w:after="0" w:line="184" w:lineRule="exact"/>
        <w:rPr>
          <w:sz w:val="20"/>
          <w:szCs w:val="20"/>
          <w:color w:val="auto"/>
        </w:rPr>
      </w:pPr>
    </w:p>
    <w:p>
      <w:pPr>
        <w:jc w:val="both"/>
        <w:ind w:left="580" w:hanging="580"/>
        <w:spacing w:after="0" w:line="225" w:lineRule="auto"/>
        <w:tabs>
          <w:tab w:leader="none" w:pos="580" w:val="left"/>
        </w:tabs>
        <w:numPr>
          <w:ilvl w:val="0"/>
          <w:numId w:val="304"/>
        </w:numPr>
        <w:rPr>
          <w:rFonts w:ascii="Calibri" w:cs="Calibri" w:eastAsia="Calibri" w:hAnsi="Calibri"/>
          <w:sz w:val="18"/>
          <w:szCs w:val="18"/>
          <w:color w:val="auto"/>
        </w:rPr>
      </w:pPr>
      <w:r>
        <w:rPr>
          <w:rFonts w:ascii="Calibri" w:cs="Calibri" w:eastAsia="Calibri" w:hAnsi="Calibri"/>
          <w:sz w:val="18"/>
          <w:szCs w:val="18"/>
          <w:color w:val="auto"/>
        </w:rPr>
        <w:t>the Borrower shall procure that the Owner shall take all necessary acton and comply with all requirements which may from tme to tme be applicable to the obligatory insurances, and (without limitng the obligaton contained in Clause 13.6(c)) ensure that the obligatory insurances are not made subject to any exclusions or qualifcatons to which the Security Trustee has not given its prior approval;</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4"/>
        </w:numPr>
        <w:rPr>
          <w:rFonts w:ascii="Calibri" w:cs="Calibri" w:eastAsia="Calibri" w:hAnsi="Calibri"/>
          <w:sz w:val="18"/>
          <w:szCs w:val="18"/>
          <w:color w:val="auto"/>
        </w:rPr>
      </w:pPr>
      <w:r>
        <w:rPr>
          <w:rFonts w:ascii="Calibri" w:cs="Calibri" w:eastAsia="Calibri" w:hAnsi="Calibri"/>
          <w:sz w:val="18"/>
          <w:szCs w:val="18"/>
          <w:color w:val="auto"/>
        </w:rPr>
        <w:t>the Borrower shall procure that the Owner shall not make any changes relatng to the classifcaton or classifcaton society or manager or operator of the Ship approved by the underwriters of the obligatory insurances;</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198" w:name="page199"/>
    <w:bookmarkEnd w:id="198"/>
    <w:p>
      <w:pPr>
        <w:jc w:val="both"/>
        <w:ind w:left="580" w:hanging="580"/>
        <w:spacing w:after="0" w:line="223" w:lineRule="auto"/>
        <w:tabs>
          <w:tab w:leader="none" w:pos="580" w:val="left"/>
        </w:tabs>
        <w:numPr>
          <w:ilvl w:val="0"/>
          <w:numId w:val="305"/>
        </w:numPr>
        <w:rPr>
          <w:rFonts w:ascii="Calibri" w:cs="Calibri" w:eastAsia="Calibri" w:hAnsi="Calibri"/>
          <w:sz w:val="18"/>
          <w:szCs w:val="18"/>
          <w:color w:val="auto"/>
        </w:rPr>
      </w:pPr>
      <w:r>
        <w:rPr>
          <w:rFonts w:ascii="Calibri" w:cs="Calibri" w:eastAsia="Calibri" w:hAnsi="Calibri"/>
          <w:sz w:val="18"/>
          <w:szCs w:val="18"/>
          <w:color w:val="auto"/>
        </w:rPr>
        <w:t>the Borrower shall procure that the Owner shall make (and promptly supply copies to the Agent (upon its request)) of all quarterly or other voyage declaratons which may be required by the protecton and indemnity risks associaton in which the Ship is entered to maintain cover for trading to the United States of America and Exclusive Economic Zone (as defned in the United States Oil Polluton Act 1990 or any other applicable legislaton) and, if applicable, shall procure that each Approved Manager complies with this requirement; and</w:t>
      </w:r>
    </w:p>
    <w:p>
      <w:pPr>
        <w:spacing w:after="0" w:line="185"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05"/>
        </w:numPr>
        <w:rPr>
          <w:rFonts w:ascii="Calibri" w:cs="Calibri" w:eastAsia="Calibri" w:hAnsi="Calibri"/>
          <w:sz w:val="18"/>
          <w:szCs w:val="18"/>
          <w:color w:val="auto"/>
        </w:rPr>
      </w:pPr>
      <w:r>
        <w:rPr>
          <w:rFonts w:ascii="Calibri" w:cs="Calibri" w:eastAsia="Calibri" w:hAnsi="Calibri"/>
          <w:sz w:val="18"/>
          <w:szCs w:val="18"/>
          <w:color w:val="auto"/>
        </w:rPr>
        <w:t>the Borrower shall procure that the Owner shall not employ the Ship, nor allow it to be employed, otherwise than in conformity with the terms and conditons of the obligatory insurances, without frst obtaining the consent of the insurers and complying with any requirements (as to extra premium or otherwise) which the insurers specify.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13.12</w:t>
        <w:tab/>
        <w:t>Alteraton to terms of insurances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not make or agree to any alteraton to the terms of any obligatory insurance or waive any right relatng to any obligatory insurance.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13.13</w:t>
        <w:tab/>
        <w:t>Setlement of claims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shall procure that the Owner shall not setle, compromise or abandon any claim under any obligatory insurance for Total Loss or for a Major Casualty, and shall do all things necessary and provide all documents, evidence and informaton to enable the Security Trustee to collect or recover any moneys which at any tme become payable in respect of the obligatory insurances and shall do all things necessary to ensure such collecton or recovery is made.</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13.14</w:t>
        <w:tab/>
        <w:t>Provision of copies of communicatons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 provide the Security Trustee with copies of all writen communicatons:</w:t>
      </w:r>
    </w:p>
    <w:p>
      <w:pPr>
        <w:spacing w:after="0" w:line="181" w:lineRule="exact"/>
        <w:rPr>
          <w:sz w:val="20"/>
          <w:szCs w:val="20"/>
          <w:color w:val="auto"/>
        </w:rPr>
      </w:pPr>
    </w:p>
    <w:p>
      <w:pPr>
        <w:ind w:left="580" w:hanging="580"/>
        <w:spacing w:after="0"/>
        <w:tabs>
          <w:tab w:leader="none" w:pos="580" w:val="left"/>
        </w:tabs>
        <w:numPr>
          <w:ilvl w:val="0"/>
          <w:numId w:val="306"/>
        </w:numPr>
        <w:rPr>
          <w:rFonts w:ascii="Calibri" w:cs="Calibri" w:eastAsia="Calibri" w:hAnsi="Calibri"/>
          <w:sz w:val="18"/>
          <w:szCs w:val="18"/>
          <w:color w:val="auto"/>
        </w:rPr>
      </w:pPr>
      <w:r>
        <w:rPr>
          <w:rFonts w:ascii="Calibri" w:cs="Calibri" w:eastAsia="Calibri" w:hAnsi="Calibri"/>
          <w:sz w:val="18"/>
          <w:szCs w:val="18"/>
          <w:color w:val="auto"/>
        </w:rPr>
        <w:t>in the case of:</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06"/>
        </w:numPr>
        <w:rPr>
          <w:rFonts w:ascii="Calibri" w:cs="Calibri" w:eastAsia="Calibri" w:hAnsi="Calibri"/>
          <w:sz w:val="18"/>
          <w:szCs w:val="18"/>
          <w:color w:val="auto"/>
        </w:rPr>
      </w:pPr>
      <w:r>
        <w:rPr>
          <w:rFonts w:ascii="Calibri" w:cs="Calibri" w:eastAsia="Calibri" w:hAnsi="Calibri"/>
          <w:sz w:val="18"/>
          <w:szCs w:val="18"/>
          <w:color w:val="auto"/>
        </w:rPr>
        <w:t>an Event of Default, for as long as such Event of Default is contnuing;</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06"/>
        </w:numPr>
        <w:rPr>
          <w:rFonts w:ascii="Calibri" w:cs="Calibri" w:eastAsia="Calibri" w:hAnsi="Calibri"/>
          <w:sz w:val="18"/>
          <w:szCs w:val="18"/>
          <w:color w:val="auto"/>
        </w:rPr>
      </w:pPr>
      <w:r>
        <w:rPr>
          <w:rFonts w:ascii="Calibri" w:cs="Calibri" w:eastAsia="Calibri" w:hAnsi="Calibri"/>
          <w:sz w:val="18"/>
          <w:szCs w:val="18"/>
          <w:color w:val="auto"/>
        </w:rPr>
        <w:t>a Major Casualty, for as long as such Major Casualty has not been rectfed and/or the relevant insurances proceeds have not been paid to the Security Trustee, pursuant to the Finance Documents;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06"/>
        </w:numPr>
        <w:rPr>
          <w:rFonts w:ascii="Calibri" w:cs="Calibri" w:eastAsia="Calibri" w:hAnsi="Calibri"/>
          <w:sz w:val="18"/>
          <w:szCs w:val="18"/>
          <w:color w:val="auto"/>
        </w:rPr>
      </w:pPr>
      <w:r>
        <w:rPr>
          <w:rFonts w:ascii="Calibri" w:cs="Calibri" w:eastAsia="Calibri" w:hAnsi="Calibri"/>
          <w:sz w:val="18"/>
          <w:szCs w:val="18"/>
          <w:color w:val="auto"/>
        </w:rPr>
        <w:t>a Total Loss during the period commencing on the Total Loss Date and ending on the earlier of (A) the date falling 120 days afer the Total Loss Date and (B) the date of receipt by the Security Trustee of the proceeds of insurance relatng to such Total Loss,</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at the tme of each such communicaton regarding the above-mentoned events; and</w:t>
      </w:r>
    </w:p>
    <w:p>
      <w:pPr>
        <w:spacing w:after="0" w:line="183" w:lineRule="exact"/>
        <w:rPr>
          <w:sz w:val="20"/>
          <w:szCs w:val="20"/>
          <w:color w:val="auto"/>
        </w:rPr>
      </w:pPr>
    </w:p>
    <w:p>
      <w:pPr>
        <w:ind w:left="600" w:right="6520" w:hanging="600"/>
        <w:spacing w:after="0" w:line="435" w:lineRule="auto"/>
        <w:tabs>
          <w:tab w:leader="none" w:pos="597" w:val="left"/>
        </w:tabs>
        <w:numPr>
          <w:ilvl w:val="0"/>
          <w:numId w:val="307"/>
        </w:numPr>
        <w:rPr>
          <w:rFonts w:ascii="Calibri" w:cs="Calibri" w:eastAsia="Calibri" w:hAnsi="Calibri"/>
          <w:sz w:val="18"/>
          <w:szCs w:val="18"/>
          <w:color w:val="auto"/>
        </w:rPr>
      </w:pPr>
      <w:r>
        <w:rPr>
          <w:rFonts w:ascii="Calibri" w:cs="Calibri" w:eastAsia="Calibri" w:hAnsi="Calibri"/>
          <w:sz w:val="18"/>
          <w:szCs w:val="18"/>
          <w:color w:val="auto"/>
        </w:rPr>
        <w:t>at all other tmes, upon the Security Trustee's request, between the Owner and:</w:t>
      </w:r>
    </w:p>
    <w:p>
      <w:pPr>
        <w:spacing w:after="0" w:line="3" w:lineRule="exact"/>
        <w:rPr>
          <w:rFonts w:ascii="Calibri" w:cs="Calibri" w:eastAsia="Calibri" w:hAnsi="Calibri"/>
          <w:sz w:val="18"/>
          <w:szCs w:val="18"/>
          <w:color w:val="auto"/>
        </w:rPr>
      </w:pPr>
    </w:p>
    <w:p>
      <w:pPr>
        <w:ind w:left="1180" w:hanging="591"/>
        <w:spacing w:after="0"/>
        <w:tabs>
          <w:tab w:leader="none" w:pos="1180" w:val="left"/>
        </w:tabs>
        <w:numPr>
          <w:ilvl w:val="1"/>
          <w:numId w:val="307"/>
        </w:numPr>
        <w:rPr>
          <w:rFonts w:ascii="Calibri" w:cs="Calibri" w:eastAsia="Calibri" w:hAnsi="Calibri"/>
          <w:sz w:val="18"/>
          <w:szCs w:val="18"/>
          <w:color w:val="auto"/>
        </w:rPr>
      </w:pPr>
      <w:r>
        <w:rPr>
          <w:rFonts w:ascii="Calibri" w:cs="Calibri" w:eastAsia="Calibri" w:hAnsi="Calibri"/>
          <w:sz w:val="18"/>
          <w:szCs w:val="18"/>
          <w:color w:val="auto"/>
        </w:rPr>
        <w:t>the approved brokers;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07"/>
        </w:numPr>
        <w:rPr>
          <w:rFonts w:ascii="Calibri" w:cs="Calibri" w:eastAsia="Calibri" w:hAnsi="Calibri"/>
          <w:sz w:val="18"/>
          <w:szCs w:val="18"/>
          <w:color w:val="auto"/>
        </w:rPr>
      </w:pPr>
      <w:r>
        <w:rPr>
          <w:rFonts w:ascii="Calibri" w:cs="Calibri" w:eastAsia="Calibri" w:hAnsi="Calibri"/>
          <w:sz w:val="18"/>
          <w:szCs w:val="18"/>
          <w:color w:val="auto"/>
        </w:rPr>
        <w:t>the approved protecton and indemnity and/or war risks associatons;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199" w:name="page200"/>
    <w:bookmarkEnd w:id="199"/>
    <w:p>
      <w:pPr>
        <w:ind w:left="1180" w:hanging="591"/>
        <w:spacing w:after="0"/>
        <w:tabs>
          <w:tab w:leader="none" w:pos="1180" w:val="left"/>
        </w:tabs>
        <w:numPr>
          <w:ilvl w:val="0"/>
          <w:numId w:val="308"/>
        </w:numPr>
        <w:rPr>
          <w:rFonts w:ascii="Calibri" w:cs="Calibri" w:eastAsia="Calibri" w:hAnsi="Calibri"/>
          <w:sz w:val="18"/>
          <w:szCs w:val="18"/>
          <w:color w:val="auto"/>
        </w:rPr>
      </w:pPr>
      <w:r>
        <w:rPr>
          <w:rFonts w:ascii="Calibri" w:cs="Calibri" w:eastAsia="Calibri" w:hAnsi="Calibri"/>
          <w:sz w:val="18"/>
          <w:szCs w:val="18"/>
          <w:color w:val="auto"/>
        </w:rPr>
        <w:t>the approved insurance companies and/or underwriters, which relate directly or indirectly to:</w:t>
      </w:r>
    </w:p>
    <w:p>
      <w:pPr>
        <w:spacing w:after="0" w:line="183" w:lineRule="exact"/>
        <w:rPr>
          <w:rFonts w:ascii="Calibri" w:cs="Calibri" w:eastAsia="Calibri" w:hAnsi="Calibri"/>
          <w:sz w:val="18"/>
          <w:szCs w:val="18"/>
          <w:color w:val="auto"/>
        </w:rPr>
      </w:pPr>
    </w:p>
    <w:p>
      <w:pPr>
        <w:ind w:left="1760" w:hanging="582"/>
        <w:spacing w:after="0" w:line="228" w:lineRule="auto"/>
        <w:tabs>
          <w:tab w:leader="none" w:pos="1760" w:val="left"/>
        </w:tabs>
        <w:numPr>
          <w:ilvl w:val="1"/>
          <w:numId w:val="308"/>
        </w:numPr>
        <w:rPr>
          <w:rFonts w:ascii="Calibri" w:cs="Calibri" w:eastAsia="Calibri" w:hAnsi="Calibri"/>
          <w:sz w:val="18"/>
          <w:szCs w:val="18"/>
          <w:color w:val="auto"/>
        </w:rPr>
      </w:pPr>
      <w:r>
        <w:rPr>
          <w:rFonts w:ascii="Calibri" w:cs="Calibri" w:eastAsia="Calibri" w:hAnsi="Calibri"/>
          <w:sz w:val="18"/>
          <w:szCs w:val="18"/>
          <w:color w:val="auto"/>
        </w:rPr>
        <w:t>the Owner's obligatons relatng to the obligatory insurances including, without limitaton, all requisite declaratons and payments of additonal premiums or calls;</w:t>
      </w:r>
    </w:p>
    <w:p>
      <w:pPr>
        <w:spacing w:after="0" w:line="183" w:lineRule="exact"/>
        <w:rPr>
          <w:rFonts w:ascii="Calibri" w:cs="Calibri" w:eastAsia="Calibri" w:hAnsi="Calibri"/>
          <w:sz w:val="18"/>
          <w:szCs w:val="18"/>
          <w:color w:val="auto"/>
        </w:rPr>
      </w:pPr>
    </w:p>
    <w:p>
      <w:pPr>
        <w:ind w:left="1760" w:hanging="582"/>
        <w:spacing w:after="0" w:line="228" w:lineRule="auto"/>
        <w:tabs>
          <w:tab w:leader="none" w:pos="1760" w:val="left"/>
        </w:tabs>
        <w:numPr>
          <w:ilvl w:val="1"/>
          <w:numId w:val="308"/>
        </w:numPr>
        <w:rPr>
          <w:rFonts w:ascii="Calibri" w:cs="Calibri" w:eastAsia="Calibri" w:hAnsi="Calibri"/>
          <w:sz w:val="18"/>
          <w:szCs w:val="18"/>
          <w:color w:val="auto"/>
        </w:rPr>
      </w:pPr>
      <w:r>
        <w:rPr>
          <w:rFonts w:ascii="Calibri" w:cs="Calibri" w:eastAsia="Calibri" w:hAnsi="Calibri"/>
          <w:sz w:val="18"/>
          <w:szCs w:val="18"/>
          <w:color w:val="auto"/>
        </w:rPr>
        <w:t>any credit arrangements made between the Owner and any of the persons referred to in paragraphs (a) or (b) relatng wholly or partly to the efectng or maintenance of the obligatory insurances; and</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1"/>
          <w:numId w:val="308"/>
        </w:numPr>
        <w:rPr>
          <w:rFonts w:ascii="Calibri" w:cs="Calibri" w:eastAsia="Calibri" w:hAnsi="Calibri"/>
          <w:sz w:val="18"/>
          <w:szCs w:val="18"/>
          <w:color w:val="auto"/>
        </w:rPr>
      </w:pPr>
      <w:r>
        <w:rPr>
          <w:rFonts w:ascii="Calibri" w:cs="Calibri" w:eastAsia="Calibri" w:hAnsi="Calibri"/>
          <w:sz w:val="18"/>
          <w:szCs w:val="18"/>
          <w:color w:val="auto"/>
        </w:rPr>
        <w:t>a claim under any obligatory insurances of the Ship.</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13.15</w:t>
        <w:tab/>
        <w:t>Provision of informaton and further undertakings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additon, the Borrower shall procure that the Owner shall promptly provide the Security Trustee (or any persons which it may designate)</w:t>
      </w:r>
    </w:p>
    <w:p>
      <w:pPr>
        <w:ind w:left="600"/>
        <w:spacing w:after="0" w:line="218" w:lineRule="auto"/>
        <w:rPr>
          <w:sz w:val="20"/>
          <w:szCs w:val="20"/>
          <w:color w:val="auto"/>
        </w:rPr>
      </w:pPr>
      <w:r>
        <w:rPr>
          <w:rFonts w:ascii="Calibri" w:cs="Calibri" w:eastAsia="Calibri" w:hAnsi="Calibri"/>
          <w:sz w:val="18"/>
          <w:szCs w:val="18"/>
          <w:color w:val="auto"/>
        </w:rPr>
        <w:t>with any informaton which the Security Trustee (or any such designated person) requests for the purpose of:</w:t>
      </w:r>
    </w:p>
    <w:p>
      <w:pPr>
        <w:spacing w:after="0" w:line="184" w:lineRule="exact"/>
        <w:rPr>
          <w:sz w:val="20"/>
          <w:szCs w:val="20"/>
          <w:color w:val="auto"/>
        </w:rPr>
      </w:pPr>
    </w:p>
    <w:p>
      <w:pPr>
        <w:ind w:left="580" w:hanging="580"/>
        <w:spacing w:after="0" w:line="228" w:lineRule="auto"/>
        <w:tabs>
          <w:tab w:leader="none" w:pos="580" w:val="left"/>
        </w:tabs>
        <w:numPr>
          <w:ilvl w:val="0"/>
          <w:numId w:val="309"/>
        </w:numPr>
        <w:rPr>
          <w:rFonts w:ascii="Calibri" w:cs="Calibri" w:eastAsia="Calibri" w:hAnsi="Calibri"/>
          <w:sz w:val="18"/>
          <w:szCs w:val="18"/>
          <w:color w:val="auto"/>
        </w:rPr>
      </w:pPr>
      <w:r>
        <w:rPr>
          <w:rFonts w:ascii="Calibri" w:cs="Calibri" w:eastAsia="Calibri" w:hAnsi="Calibri"/>
          <w:sz w:val="18"/>
          <w:szCs w:val="18"/>
          <w:color w:val="auto"/>
        </w:rPr>
        <w:t>obtaining or preparing any report from an independent marine insurance broker as to the adequacy of the obligatory insurances efected or proposed to be efected; and/or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09"/>
        </w:numPr>
        <w:rPr>
          <w:rFonts w:ascii="Calibri" w:cs="Calibri" w:eastAsia="Calibri" w:hAnsi="Calibri"/>
          <w:sz w:val="18"/>
          <w:szCs w:val="18"/>
          <w:color w:val="auto"/>
        </w:rPr>
      </w:pPr>
      <w:r>
        <w:rPr>
          <w:rFonts w:ascii="Calibri" w:cs="Calibri" w:eastAsia="Calibri" w:hAnsi="Calibri"/>
          <w:sz w:val="18"/>
          <w:szCs w:val="18"/>
          <w:color w:val="auto"/>
        </w:rPr>
        <w:t>efectng, maintaining or renewing any such insurances as are referred to in Clause 13.17 or dealing with or considering any maters relatng to any such insurances,</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and the Borrower shall procure that the Owner shall:</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09"/>
        </w:numPr>
        <w:rPr>
          <w:rFonts w:ascii="Calibri" w:cs="Calibri" w:eastAsia="Calibri" w:hAnsi="Calibri"/>
          <w:sz w:val="18"/>
          <w:szCs w:val="18"/>
          <w:color w:val="auto"/>
        </w:rPr>
      </w:pPr>
      <w:r>
        <w:rPr>
          <w:rFonts w:ascii="Calibri" w:cs="Calibri" w:eastAsia="Calibri" w:hAnsi="Calibri"/>
          <w:sz w:val="18"/>
          <w:szCs w:val="18"/>
          <w:color w:val="auto"/>
        </w:rPr>
        <w:t>do all things necessary and provide the Agent and the Security Trustee with all documents and informaton to enable the Security Trustee to collect or recover any moneys in respect of the Insurances which are payable to the Security Trustee pursuant to the Finance Documents; and</w:t>
      </w:r>
    </w:p>
    <w:p>
      <w:pPr>
        <w:spacing w:after="0" w:line="362" w:lineRule="exact"/>
        <w:rPr>
          <w:rFonts w:ascii="Calibri" w:cs="Calibri" w:eastAsia="Calibri" w:hAnsi="Calibri"/>
          <w:sz w:val="18"/>
          <w:szCs w:val="18"/>
          <w:color w:val="auto"/>
        </w:rPr>
      </w:pPr>
    </w:p>
    <w:p>
      <w:pPr>
        <w:jc w:val="both"/>
        <w:ind w:left="580" w:hanging="580"/>
        <w:spacing w:after="0"/>
        <w:tabs>
          <w:tab w:leader="none" w:pos="580" w:val="left"/>
        </w:tabs>
        <w:numPr>
          <w:ilvl w:val="0"/>
          <w:numId w:val="309"/>
        </w:numPr>
        <w:rPr>
          <w:rFonts w:ascii="Calibri" w:cs="Calibri" w:eastAsia="Calibri" w:hAnsi="Calibri"/>
          <w:sz w:val="18"/>
          <w:szCs w:val="18"/>
          <w:color w:val="auto"/>
        </w:rPr>
      </w:pPr>
      <w:r>
        <w:rPr>
          <w:rFonts w:ascii="Calibri" w:cs="Calibri" w:eastAsia="Calibri" w:hAnsi="Calibri"/>
          <w:sz w:val="18"/>
          <w:szCs w:val="18"/>
          <w:color w:val="auto"/>
        </w:rPr>
        <w:t>promptly provide the Agent with full informaton regarding any Major Casualty or in consequence whereof the Ship has become or may become a Total Loss and agree to any setlement of such casualty or other accident or damage to the Ship only with the Agent's prior writen consent,</w:t>
      </w:r>
    </w:p>
    <w:p>
      <w:pPr>
        <w:spacing w:after="0" w:line="362"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and the Borrower shall procure that the Owner shall, forthwith upon demand, indemnify the Security Trustee in respect of all fees and other expenses incurred by or for the account of the Security Trustee in connecton with any such report as is referred to in paragraph (a).</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13.16</w:t>
        <w:tab/>
        <w:t>Mortgagee's interest and additonal perils insurances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Security Trustee shall be enttled from tme to tme to efect, maintain and renew all or any of the following insurances in such amounts, on such terms, through such insurers and generally in such manner as the Majority Lenders may from tme to tme consider appropriate:</w:t>
      </w:r>
    </w:p>
    <w:p>
      <w:pPr>
        <w:spacing w:after="0" w:line="362" w:lineRule="exact"/>
        <w:rPr>
          <w:sz w:val="20"/>
          <w:szCs w:val="20"/>
          <w:color w:val="auto"/>
        </w:rPr>
      </w:pPr>
    </w:p>
    <w:p>
      <w:pPr>
        <w:ind w:left="580" w:hanging="580"/>
        <w:spacing w:after="0" w:line="228" w:lineRule="auto"/>
        <w:tabs>
          <w:tab w:leader="none" w:pos="580" w:val="left"/>
        </w:tabs>
        <w:numPr>
          <w:ilvl w:val="0"/>
          <w:numId w:val="310"/>
        </w:numPr>
        <w:rPr>
          <w:rFonts w:ascii="Calibri" w:cs="Calibri" w:eastAsia="Calibri" w:hAnsi="Calibri"/>
          <w:sz w:val="18"/>
          <w:szCs w:val="18"/>
          <w:color w:val="auto"/>
        </w:rPr>
      </w:pPr>
      <w:r>
        <w:rPr>
          <w:rFonts w:ascii="Calibri" w:cs="Calibri" w:eastAsia="Calibri" w:hAnsi="Calibri"/>
          <w:sz w:val="18"/>
          <w:szCs w:val="18"/>
          <w:color w:val="auto"/>
        </w:rPr>
        <w:t>a mortgagee's interest insurance in relaton to the Ship providing for the indemnifcaton of the Creditor Partes for any losses under or in connecton with any Finance Document in an amount of up to 120 per cent. of the aggregate of:</w:t>
      </w:r>
    </w:p>
    <w:p>
      <w:pPr>
        <w:spacing w:after="0" w:line="182" w:lineRule="exact"/>
        <w:rPr>
          <w:sz w:val="20"/>
          <w:szCs w:val="20"/>
          <w:color w:val="auto"/>
        </w:rPr>
      </w:pPr>
    </w:p>
    <w:p>
      <w:pPr>
        <w:ind w:left="1180" w:hanging="591"/>
        <w:spacing w:after="0"/>
        <w:tabs>
          <w:tab w:leader="none" w:pos="1180" w:val="left"/>
        </w:tabs>
        <w:numPr>
          <w:ilvl w:val="0"/>
          <w:numId w:val="311"/>
        </w:numPr>
        <w:rPr>
          <w:rFonts w:ascii="Calibri" w:cs="Calibri" w:eastAsia="Calibri" w:hAnsi="Calibri"/>
          <w:sz w:val="18"/>
          <w:szCs w:val="18"/>
          <w:color w:val="auto"/>
        </w:rPr>
      </w:pPr>
      <w:r>
        <w:rPr>
          <w:rFonts w:ascii="Calibri" w:cs="Calibri" w:eastAsia="Calibri" w:hAnsi="Calibri"/>
          <w:sz w:val="18"/>
          <w:szCs w:val="18"/>
          <w:color w:val="auto"/>
        </w:rPr>
        <w:t>the Loan;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00" w:name="page201"/>
    <w:bookmarkEnd w:id="200"/>
    <w:p>
      <w:pPr>
        <w:ind w:left="1180" w:hanging="591"/>
        <w:spacing w:after="0"/>
        <w:tabs>
          <w:tab w:leader="none" w:pos="1180" w:val="left"/>
        </w:tabs>
        <w:numPr>
          <w:ilvl w:val="1"/>
          <w:numId w:val="312"/>
        </w:numPr>
        <w:rPr>
          <w:rFonts w:ascii="Calibri" w:cs="Calibri" w:eastAsia="Calibri" w:hAnsi="Calibri"/>
          <w:sz w:val="18"/>
          <w:szCs w:val="18"/>
          <w:color w:val="auto"/>
        </w:rPr>
      </w:pPr>
      <w:r>
        <w:rPr>
          <w:rFonts w:ascii="Calibri" w:cs="Calibri" w:eastAsia="Calibri" w:hAnsi="Calibri"/>
          <w:sz w:val="18"/>
          <w:szCs w:val="18"/>
          <w:color w:val="auto"/>
        </w:rPr>
        <w:t>the principal amount secured by any equal or prior ranking Security Interest on the Ship,</w:t>
      </w:r>
    </w:p>
    <w:p>
      <w:pPr>
        <w:spacing w:after="0" w:line="183" w:lineRule="exact"/>
        <w:rPr>
          <w:rFonts w:ascii="Calibri" w:cs="Calibri" w:eastAsia="Calibri" w:hAnsi="Calibri"/>
          <w:sz w:val="18"/>
          <w:szCs w:val="18"/>
          <w:color w:val="auto"/>
        </w:rPr>
      </w:pPr>
    </w:p>
    <w:p>
      <w:pPr>
        <w:jc w:val="both"/>
        <w:ind w:left="1180"/>
        <w:spacing w:after="0" w:line="225" w:lineRule="auto"/>
        <w:rPr>
          <w:rFonts w:ascii="Calibri" w:cs="Calibri" w:eastAsia="Calibri" w:hAnsi="Calibri"/>
          <w:sz w:val="18"/>
          <w:szCs w:val="18"/>
          <w:color w:val="auto"/>
        </w:rPr>
      </w:pPr>
      <w:r>
        <w:rPr>
          <w:rFonts w:ascii="Calibri" w:cs="Calibri" w:eastAsia="Calibri" w:hAnsi="Calibri"/>
          <w:sz w:val="18"/>
          <w:szCs w:val="18"/>
          <w:color w:val="auto"/>
        </w:rPr>
        <w:t>which directly or indirectly result from loss of or damage to the Ship or a liability of the that or of the Owner, being a loss or damage which is prima facie covered by an obligatory insurance but in respect of which there is a non-payment (or reduced payment) by the underwriters by reason of, or on the basis of an allegaton concerning:</w:t>
      </w:r>
    </w:p>
    <w:p>
      <w:pPr>
        <w:spacing w:after="0" w:line="183" w:lineRule="exact"/>
        <w:rPr>
          <w:rFonts w:ascii="Calibri" w:cs="Calibri" w:eastAsia="Calibri" w:hAnsi="Calibri"/>
          <w:sz w:val="18"/>
          <w:szCs w:val="18"/>
          <w:color w:val="auto"/>
        </w:rPr>
      </w:pPr>
    </w:p>
    <w:p>
      <w:pPr>
        <w:jc w:val="both"/>
        <w:ind w:left="1760" w:hanging="582"/>
        <w:spacing w:after="0" w:line="225" w:lineRule="auto"/>
        <w:tabs>
          <w:tab w:leader="none" w:pos="1760" w:val="left"/>
        </w:tabs>
        <w:numPr>
          <w:ilvl w:val="2"/>
          <w:numId w:val="312"/>
        </w:numPr>
        <w:rPr>
          <w:rFonts w:ascii="Calibri" w:cs="Calibri" w:eastAsia="Calibri" w:hAnsi="Calibri"/>
          <w:sz w:val="18"/>
          <w:szCs w:val="18"/>
          <w:color w:val="auto"/>
        </w:rPr>
      </w:pPr>
      <w:r>
        <w:rPr>
          <w:rFonts w:ascii="Calibri" w:cs="Calibri" w:eastAsia="Calibri" w:hAnsi="Calibri"/>
          <w:sz w:val="18"/>
          <w:szCs w:val="18"/>
          <w:color w:val="auto"/>
        </w:rPr>
        <w:t>any act or omission on the part of the Owner, of any operator, charterer, manager or sub-manager of the Ship or of any ofcer, employee or agent of the Owner or of any such person, including any breach of warranty or conditon or any non-disclosure relatng to such obligatory insurance;</w:t>
      </w:r>
    </w:p>
    <w:p>
      <w:pPr>
        <w:spacing w:after="0" w:line="183" w:lineRule="exact"/>
        <w:rPr>
          <w:rFonts w:ascii="Calibri" w:cs="Calibri" w:eastAsia="Calibri" w:hAnsi="Calibri"/>
          <w:sz w:val="18"/>
          <w:szCs w:val="18"/>
          <w:color w:val="auto"/>
        </w:rPr>
      </w:pPr>
    </w:p>
    <w:p>
      <w:pPr>
        <w:jc w:val="both"/>
        <w:ind w:left="1760" w:hanging="582"/>
        <w:spacing w:after="0" w:line="225" w:lineRule="auto"/>
        <w:tabs>
          <w:tab w:leader="none" w:pos="1760" w:val="left"/>
        </w:tabs>
        <w:numPr>
          <w:ilvl w:val="2"/>
          <w:numId w:val="312"/>
        </w:numPr>
        <w:rPr>
          <w:rFonts w:ascii="Calibri" w:cs="Calibri" w:eastAsia="Calibri" w:hAnsi="Calibri"/>
          <w:sz w:val="18"/>
          <w:szCs w:val="18"/>
          <w:color w:val="auto"/>
        </w:rPr>
      </w:pPr>
      <w:r>
        <w:rPr>
          <w:rFonts w:ascii="Calibri" w:cs="Calibri" w:eastAsia="Calibri" w:hAnsi="Calibri"/>
          <w:sz w:val="18"/>
          <w:szCs w:val="18"/>
          <w:color w:val="auto"/>
        </w:rPr>
        <w:t>any act or omission, whether deliberate, negligent or accidental, or any knowledge or privity of the Owner, any other person referred to in paragraph (i) above, or of any ofcer, employee or agent of the Owner or of such a person, including the castng away or damaging of the Ship and/or the Ship being unseaworthy; and/or</w:t>
      </w:r>
    </w:p>
    <w:p>
      <w:pPr>
        <w:spacing w:after="0" w:line="183" w:lineRule="exact"/>
        <w:rPr>
          <w:rFonts w:ascii="Calibri" w:cs="Calibri" w:eastAsia="Calibri" w:hAnsi="Calibri"/>
          <w:sz w:val="18"/>
          <w:szCs w:val="18"/>
          <w:color w:val="auto"/>
        </w:rPr>
      </w:pPr>
    </w:p>
    <w:p>
      <w:pPr>
        <w:ind w:left="1760" w:hanging="582"/>
        <w:spacing w:after="0" w:line="228" w:lineRule="auto"/>
        <w:tabs>
          <w:tab w:leader="none" w:pos="1760" w:val="left"/>
        </w:tabs>
        <w:numPr>
          <w:ilvl w:val="2"/>
          <w:numId w:val="312"/>
        </w:numPr>
        <w:rPr>
          <w:rFonts w:ascii="Calibri" w:cs="Calibri" w:eastAsia="Calibri" w:hAnsi="Calibri"/>
          <w:sz w:val="18"/>
          <w:szCs w:val="18"/>
          <w:color w:val="auto"/>
        </w:rPr>
      </w:pPr>
      <w:r>
        <w:rPr>
          <w:rFonts w:ascii="Calibri" w:cs="Calibri" w:eastAsia="Calibri" w:hAnsi="Calibri"/>
          <w:sz w:val="18"/>
          <w:szCs w:val="18"/>
          <w:color w:val="auto"/>
        </w:rPr>
        <w:t>any other mater capable of being insured against under a mortgagee's interest marine insurance policy whether or not similar to the foregoing; and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13"/>
        </w:numPr>
        <w:rPr>
          <w:rFonts w:ascii="Calibri" w:cs="Calibri" w:eastAsia="Calibri" w:hAnsi="Calibri"/>
          <w:sz w:val="18"/>
          <w:szCs w:val="18"/>
          <w:color w:val="auto"/>
        </w:rPr>
      </w:pPr>
      <w:r>
        <w:rPr>
          <w:rFonts w:ascii="Calibri" w:cs="Calibri" w:eastAsia="Calibri" w:hAnsi="Calibri"/>
          <w:sz w:val="18"/>
          <w:szCs w:val="18"/>
          <w:color w:val="auto"/>
        </w:rPr>
        <w:t>a mortgagee's interest additonal perils insurance in relaton to the Ship providing for the indemnifcaton of the Creditor Partes against, among other things, any possible losses or other consequences of any Environmental Claim, including the risk of expropriaton, arrest or any form of detenton of a Ship, the impositon of any Security Interest over the Ship and/or any other mater capable of being insured against under a mortgagee's interest additonal perils policy whether or not similar to the foregoing, and in an amount of up to 110 per cent. of the aggregate of:</w:t>
      </w:r>
    </w:p>
    <w:p>
      <w:pPr>
        <w:spacing w:after="0" w:line="321" w:lineRule="exact"/>
        <w:rPr>
          <w:rFonts w:ascii="Calibri" w:cs="Calibri" w:eastAsia="Calibri" w:hAnsi="Calibri"/>
          <w:sz w:val="18"/>
          <w:szCs w:val="18"/>
          <w:color w:val="auto"/>
        </w:rPr>
      </w:pPr>
    </w:p>
    <w:p>
      <w:pPr>
        <w:ind w:left="1180" w:hanging="591"/>
        <w:spacing w:after="0"/>
        <w:tabs>
          <w:tab w:leader="none" w:pos="1180" w:val="left"/>
        </w:tabs>
        <w:numPr>
          <w:ilvl w:val="1"/>
          <w:numId w:val="313"/>
        </w:numPr>
        <w:rPr>
          <w:rFonts w:ascii="Calibri" w:cs="Calibri" w:eastAsia="Calibri" w:hAnsi="Calibri"/>
          <w:sz w:val="18"/>
          <w:szCs w:val="18"/>
          <w:color w:val="auto"/>
        </w:rPr>
      </w:pPr>
      <w:r>
        <w:rPr>
          <w:rFonts w:ascii="Calibri" w:cs="Calibri" w:eastAsia="Calibri" w:hAnsi="Calibri"/>
          <w:sz w:val="18"/>
          <w:szCs w:val="18"/>
          <w:color w:val="auto"/>
        </w:rPr>
        <w:t>the Loan; and</w:t>
      </w:r>
    </w:p>
    <w:p>
      <w:pPr>
        <w:spacing w:after="0" w:line="181" w:lineRule="exact"/>
        <w:rPr>
          <w:sz w:val="20"/>
          <w:szCs w:val="20"/>
          <w:color w:val="auto"/>
        </w:rPr>
      </w:pPr>
    </w:p>
    <w:p>
      <w:pPr>
        <w:ind w:left="1180" w:hanging="591"/>
        <w:spacing w:after="0"/>
        <w:tabs>
          <w:tab w:leader="none" w:pos="1180"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the principal amount secured by any equal or prior ranking Security Interest on the Ship,</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and the Borrower shall upon demand fully indemnify the Security Trustee in respect of all premiums and other expenses which are incurred in connecton with or with a view to efectng, maintaining or renewing any such insurance or dealing with, or considering, any mater arising out of any such insurance.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13.17</w:t>
        <w:tab/>
        <w:t>Review of insurance requirements</w:t>
      </w:r>
    </w:p>
    <w:p>
      <w:pPr>
        <w:spacing w:after="0" w:line="183" w:lineRule="exact"/>
        <w:rPr>
          <w:sz w:val="20"/>
          <w:szCs w:val="20"/>
          <w:color w:val="auto"/>
        </w:rPr>
      </w:pPr>
    </w:p>
    <w:p>
      <w:pPr>
        <w:jc w:val="both"/>
        <w:ind w:left="600"/>
        <w:spacing w:after="0" w:line="222" w:lineRule="auto"/>
        <w:rPr>
          <w:sz w:val="20"/>
          <w:szCs w:val="20"/>
          <w:color w:val="auto"/>
        </w:rPr>
      </w:pPr>
      <w:r>
        <w:rPr>
          <w:rFonts w:ascii="Calibri" w:cs="Calibri" w:eastAsia="Calibri" w:hAnsi="Calibri"/>
          <w:sz w:val="18"/>
          <w:szCs w:val="18"/>
          <w:color w:val="auto"/>
        </w:rPr>
        <w:t>The Agent (actng on the instructons of the Majority Lenders) shall be enttled to review the requirements of this Clause 13 from tme to tme in order to take account of any changes in circumstances afer the date of this Agreement which are, in the opinion of the Agent (actng on the instructons of the Majority Lenders), signifcant and capable of afectng the Owner, the Ship and its Insurances (including, without limitaton, changes in the availability or the cost of insurance coverage or the risks to which the Owner may be subject) and the Borrower and the Owner shall upon demand fully indemnify the Agent in respect of all documented fees and other expenses incurred by or for the account of the Agent in appointng an independent marine insurance broker or adviser to conduct such review.</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01" w:name="page202"/>
    <w:bookmarkEnd w:id="201"/>
    <w:p>
      <w:pPr>
        <w:spacing w:after="0"/>
        <w:tabs>
          <w:tab w:leader="none" w:pos="560" w:val="left"/>
        </w:tabs>
        <w:rPr>
          <w:sz w:val="20"/>
          <w:szCs w:val="20"/>
          <w:color w:val="auto"/>
        </w:rPr>
      </w:pPr>
      <w:r>
        <w:rPr>
          <w:rFonts w:ascii="Calibri" w:cs="Calibri" w:eastAsia="Calibri" w:hAnsi="Calibri"/>
          <w:sz w:val="18"/>
          <w:szCs w:val="18"/>
          <w:b w:val="1"/>
          <w:bCs w:val="1"/>
          <w:color w:val="auto"/>
        </w:rPr>
        <w:t>13.18</w:t>
        <w:tab/>
        <w:t>Modifcaton of insurance requirements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Agent (actng on the instructons of the Majority Lenders) shall notfy the Borrower and the Owner of any proposed modifcaton under Clause 13.18 to the requirements of this Clause 13 which the Agent reasonably considers appropriate in the circumstances, and such modifcaton shall take efect on and from the date it is notfed in writng to the Borrower and the Owner as an amendment to this Clause 13 and shall bind the Borrower and the Owner accordingly.</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13.19</w:t>
        <w:tab/>
        <w:t>Compliance with mortgagee's instructons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Security Trustee shall be enttled (without prejudice to or limitaton of any other rights which it may have or acquire under any Finance Document) to require the Ship to remain at any safe port or to proceed to and remain at any safe port designated by the Security Trustee untl the Owner implements any amendments to the terms of the obligatory insurances and any operatonal changes required as a result of a notce served under Clause 13.19.</w:t>
      </w:r>
    </w:p>
    <w:p>
      <w:pPr>
        <w:spacing w:after="0" w:line="183" w:lineRule="exact"/>
        <w:rPr>
          <w:sz w:val="20"/>
          <w:szCs w:val="20"/>
          <w:color w:val="auto"/>
        </w:rPr>
      </w:pPr>
    </w:p>
    <w:p>
      <w:pPr>
        <w:ind w:left="580" w:hanging="580"/>
        <w:spacing w:after="0"/>
        <w:tabs>
          <w:tab w:leader="none" w:pos="580" w:val="left"/>
        </w:tabs>
        <w:numPr>
          <w:ilvl w:val="0"/>
          <w:numId w:val="31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SHIP COVENANTS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also undertakes with each Creditor Party to procure that the Owner complies as from the Drawdown Date and at all tmes thereafer during the Security Period with the following provisions of this Clause 14 except as the Agent, with the authorisaton of the Majority Lenders, may otherwise permit (in the case of Clauses 14.2, 14.3(b) and 14.13 such authorisaton not to be unreasonably withheld or delayed by any Lender).</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14.2</w:t>
        <w:tab/>
        <w:t>Ship's name and registraton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procure that the Owner shall keep the Ship registered in its name under the Approved Flag; shall not do, omit to do or allow to be done anything as a result of which such registraton might be cancelled or imperilled; and shall not change the name or port of registry of the Ship.</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14.3</w:t>
        <w:tab/>
        <w:t>Repair and classifcaton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and each Approved Manager shall, keep the Ship in a good and safe conditon and state of repair, sea and cargo worthy in all respects:</w:t>
      </w:r>
    </w:p>
    <w:p>
      <w:pPr>
        <w:spacing w:after="0" w:line="182" w:lineRule="exact"/>
        <w:rPr>
          <w:sz w:val="20"/>
          <w:szCs w:val="20"/>
          <w:color w:val="auto"/>
        </w:rPr>
      </w:pPr>
    </w:p>
    <w:p>
      <w:pPr>
        <w:ind w:left="580" w:hanging="580"/>
        <w:spacing w:after="0"/>
        <w:tabs>
          <w:tab w:leader="none" w:pos="580"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consistent with frst-class ship ownership and management practce;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so as to maintain the highest class available for vessels of the same type, specifcaton and age as the Ship free of overdue recommendatons and conditons, with the Approved Classifcaton Society;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so as to comply with all laws and regulatons applicable to vessels registered at ports in the applicable Approved Flag State or to vessels trading to any jurisdicton to which the Ship may trade from tme to tme, including but not limited to the ISM Code and the ISPS Code,</w:t>
      </w:r>
    </w:p>
    <w:p>
      <w:pPr>
        <w:spacing w:after="0" w:line="184"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and the Agent shall be given power of atorney in the form atached as Schedule 5 to act on behalf of the Owner in order to, inspect the class records and any fles held by the classifcaton society and to require the classifcaton society to provide the Agent or any of its nominees</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59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02" w:name="page203"/>
    <w:bookmarkEnd w:id="202"/>
    <w:p>
      <w:pPr>
        <w:ind w:left="600"/>
        <w:spacing w:after="0" w:line="228" w:lineRule="auto"/>
        <w:rPr>
          <w:sz w:val="20"/>
          <w:szCs w:val="20"/>
          <w:color w:val="auto"/>
        </w:rPr>
      </w:pPr>
      <w:r>
        <w:rPr>
          <w:rFonts w:ascii="Calibri" w:cs="Calibri" w:eastAsia="Calibri" w:hAnsi="Calibri"/>
          <w:sz w:val="18"/>
          <w:szCs w:val="18"/>
          <w:color w:val="auto"/>
        </w:rPr>
        <w:t>with any informaton, document or fle, it might request and the classifcaton society shall be fully enttled to rely hereon without any further inquiry.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14.4</w:t>
        <w:tab/>
        <w:t>Classifcaton society undertaking</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shall procure that the Owner shall instruct the classifcaton society referred to in Clause 14.3 (and procure that the classifcaton society undertakes with the Security Trustee):</w:t>
      </w:r>
    </w:p>
    <w:p>
      <w:pPr>
        <w:spacing w:after="0" w:line="184" w:lineRule="exact"/>
        <w:rPr>
          <w:sz w:val="20"/>
          <w:szCs w:val="20"/>
          <w:color w:val="auto"/>
        </w:rPr>
      </w:pPr>
    </w:p>
    <w:p>
      <w:pPr>
        <w:ind w:left="580" w:hanging="580"/>
        <w:spacing w:after="0" w:line="228" w:lineRule="auto"/>
        <w:tabs>
          <w:tab w:leader="none" w:pos="580"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to send to the Security Trustee, following receipt of a writen request from the Security Trustee, certfed true copies of all original class records and any other related records held by the classifcaton society in relaton to the Ship;</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to allow the Security Trustee (or its agents), at any tme and from tme to tme, to inspect the original class and related records of the Ship at the ofces of the classifcaton society and to take copies of them;</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to notfy the Security Trustee immediately in writng if the classifcaton society: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18"/>
        </w:numPr>
        <w:rPr>
          <w:rFonts w:ascii="Calibri" w:cs="Calibri" w:eastAsia="Calibri" w:hAnsi="Calibri"/>
          <w:sz w:val="18"/>
          <w:szCs w:val="18"/>
          <w:color w:val="auto"/>
        </w:rPr>
      </w:pPr>
      <w:r>
        <w:rPr>
          <w:rFonts w:ascii="Calibri" w:cs="Calibri" w:eastAsia="Calibri" w:hAnsi="Calibri"/>
          <w:sz w:val="18"/>
          <w:szCs w:val="18"/>
          <w:color w:val="auto"/>
        </w:rPr>
        <w:t>receives notfcaton from the Borrower or the Owner or any person that the Ship's classifcaton society is to be changed; or</w:t>
      </w:r>
    </w:p>
    <w:p>
      <w:pPr>
        <w:spacing w:after="0" w:line="183" w:lineRule="exact"/>
        <w:rPr>
          <w:rFonts w:ascii="Calibri" w:cs="Calibri" w:eastAsia="Calibri" w:hAnsi="Calibri"/>
          <w:sz w:val="18"/>
          <w:szCs w:val="18"/>
          <w:color w:val="auto"/>
        </w:rPr>
      </w:pPr>
    </w:p>
    <w:p>
      <w:pPr>
        <w:jc w:val="both"/>
        <w:ind w:left="1180" w:hanging="591"/>
        <w:spacing w:after="0"/>
        <w:tabs>
          <w:tab w:leader="none" w:pos="1180" w:val="left"/>
        </w:tabs>
        <w:numPr>
          <w:ilvl w:val="1"/>
          <w:numId w:val="318"/>
        </w:numPr>
        <w:rPr>
          <w:rFonts w:ascii="Calibri" w:cs="Calibri" w:eastAsia="Calibri" w:hAnsi="Calibri"/>
          <w:sz w:val="18"/>
          <w:szCs w:val="18"/>
          <w:color w:val="auto"/>
        </w:rPr>
      </w:pPr>
      <w:r>
        <w:rPr>
          <w:rFonts w:ascii="Calibri" w:cs="Calibri" w:eastAsia="Calibri" w:hAnsi="Calibri"/>
          <w:sz w:val="18"/>
          <w:szCs w:val="18"/>
          <w:color w:val="auto"/>
        </w:rPr>
        <w:t>becomes aware of any facts or maters which may result in or have resulted in a change, suspension, discontnuance, withdrawal or expiry of the Ship's class under the rules or terms and conditons of the Owner's or the Ship's membership of the classifcaton society;</w:t>
      </w:r>
    </w:p>
    <w:p>
      <w:pPr>
        <w:spacing w:after="0" w:line="360" w:lineRule="exact"/>
        <w:rPr>
          <w:rFonts w:ascii="Calibri" w:cs="Calibri" w:eastAsia="Calibri" w:hAnsi="Calibri"/>
          <w:sz w:val="18"/>
          <w:szCs w:val="18"/>
          <w:color w:val="auto"/>
        </w:rPr>
      </w:pPr>
    </w:p>
    <w:p>
      <w:pPr>
        <w:ind w:left="580" w:hanging="580"/>
        <w:spacing w:after="0"/>
        <w:tabs>
          <w:tab w:leader="none" w:pos="580"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following receipt of a writen request from the Security Trustee:</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18"/>
        </w:numPr>
        <w:rPr>
          <w:rFonts w:ascii="Calibri" w:cs="Calibri" w:eastAsia="Calibri" w:hAnsi="Calibri"/>
          <w:sz w:val="18"/>
          <w:szCs w:val="18"/>
          <w:color w:val="auto"/>
        </w:rPr>
      </w:pPr>
      <w:r>
        <w:rPr>
          <w:rFonts w:ascii="Calibri" w:cs="Calibri" w:eastAsia="Calibri" w:hAnsi="Calibri"/>
          <w:sz w:val="18"/>
          <w:szCs w:val="18"/>
          <w:color w:val="auto"/>
        </w:rPr>
        <w:t>to confrm that the Owner is not in default of any of its contractual obligatons or liabilites to the classifcaton society and, without limitng the foregoing, that it has paid in full all fees or other charges due and payable to the classifcaton society; or</w:t>
      </w:r>
    </w:p>
    <w:p>
      <w:pPr>
        <w:spacing w:after="0" w:line="183" w:lineRule="exact"/>
        <w:rPr>
          <w:rFonts w:ascii="Calibri" w:cs="Calibri" w:eastAsia="Calibri" w:hAnsi="Calibri"/>
          <w:sz w:val="18"/>
          <w:szCs w:val="18"/>
          <w:color w:val="auto"/>
        </w:rPr>
      </w:pPr>
    </w:p>
    <w:p>
      <w:pPr>
        <w:jc w:val="both"/>
        <w:ind w:left="1180" w:hanging="591"/>
        <w:spacing w:after="0" w:line="225" w:lineRule="auto"/>
        <w:tabs>
          <w:tab w:leader="none" w:pos="1180" w:val="left"/>
        </w:tabs>
        <w:numPr>
          <w:ilvl w:val="1"/>
          <w:numId w:val="318"/>
        </w:numPr>
        <w:rPr>
          <w:rFonts w:ascii="Calibri" w:cs="Calibri" w:eastAsia="Calibri" w:hAnsi="Calibri"/>
          <w:sz w:val="18"/>
          <w:szCs w:val="18"/>
          <w:color w:val="auto"/>
        </w:rPr>
      </w:pPr>
      <w:r>
        <w:rPr>
          <w:rFonts w:ascii="Calibri" w:cs="Calibri" w:eastAsia="Calibri" w:hAnsi="Calibri"/>
          <w:sz w:val="18"/>
          <w:szCs w:val="18"/>
          <w:color w:val="auto"/>
        </w:rPr>
        <w:t>if the Owner is in default of any of its contractual obligatons or liabilites to the classifcaton society, to specify to the Security Trustee in reasonable detail the facts and circumstances of such default, the consequences thereof, and any remedy period agreed or allowed by the classifcaton society.</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14.5</w:t>
        <w:tab/>
        <w:t>Modifcaton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make no modifcaton or repairs to, or replacement of, the Ship or equipment installed on it which would or might materially alter the structure, type or performance characteristcs of the Ship or materially reduce its value.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14.6</w:t>
        <w:tab/>
        <w:t>Removal of parts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shall procure that the Owner shall not remove any material part of the Ship, or any item of equipment installed on the Ship unless the part or item so removed is forthwith replaced by a suitable part or item which is in the same conditon as or beter conditon than the part or item removed, is free from any Security Interest or any right in favour of any person other than the Security Trustee and becomes on installaton on the Ship the property of the Owner and subject to the security consttuted by the Mortgage and any Deed of Covenant</w:t>
      </w:r>
    </w:p>
    <w:p>
      <w:pPr>
        <w:spacing w:after="0" w:line="32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03" w:name="page204"/>
    <w:bookmarkEnd w:id="203"/>
    <w:p>
      <w:pPr>
        <w:jc w:val="both"/>
        <w:ind w:left="600"/>
        <w:spacing w:after="0"/>
        <w:rPr>
          <w:sz w:val="20"/>
          <w:szCs w:val="20"/>
          <w:color w:val="auto"/>
        </w:rPr>
      </w:pPr>
      <w:r>
        <w:rPr>
          <w:rFonts w:ascii="Calibri" w:cs="Calibri" w:eastAsia="Calibri" w:hAnsi="Calibri"/>
          <w:sz w:val="18"/>
          <w:szCs w:val="18"/>
          <w:b w:val="1"/>
          <w:bCs w:val="1"/>
          <w:color w:val="auto"/>
        </w:rPr>
        <w:t xml:space="preserve">Provided that </w:t>
      </w:r>
      <w:r>
        <w:rPr>
          <w:rFonts w:ascii="Calibri" w:cs="Calibri" w:eastAsia="Calibri" w:hAnsi="Calibri"/>
          <w:sz w:val="18"/>
          <w:szCs w:val="18"/>
          <w:color w:val="auto"/>
        </w:rPr>
        <w:t>the Owner may install equipment owned by a third party if the equipment can be removed without any risk of damage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Ship.</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14.7</w:t>
        <w:tab/>
        <w:t>Surveys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procure that the Owner shall submit the Ship regularly to all periodical or other surveys which may be required for classifcaton purposes and, if so required by the Security Trustee provide the Security Trustee, with copies of all survey reports.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14.8</w:t>
        <w:tab/>
        <w:t>Inspecton</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 xml:space="preserve">The Borrower shall procure that the Owner shall permit the Security Trustee (by surveyors or other persons appointed by it for that purpose) to board the Ship at all reasonable tmes to inspect its conditon or to satsfy themselves about proposed or executed repairs and shall aford all proper facilites for such inspectons at the Owner's expense and if the inspector or surveyor appointed by the Security Trustee under this Clause is of the opinion that there are any technical, commercial or operatonal actons being undertaken or omited to be undertaken by the Owner or the Approved Manager which adversely afect the operaton or value of the Ship, the Borrower shall procure that the Owner shall forthwith (at the Owner's expense) on the Security Trustee's demand remedy such acton or inacton and provide the Security Trustee with evidence that it has taken such remedial acton </w:t>
      </w: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xml:space="preserve"> the Owner shall be obliged to pay for one inspecton per calendar year during the Security Period unless an Event of Default has occurred and is contnuing in which case it shall pay for all inspectons made whilst such Event of Default is in existence.</w:t>
      </w:r>
    </w:p>
    <w:p>
      <w:pPr>
        <w:spacing w:after="0" w:line="244"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14.9</w:t>
        <w:tab/>
        <w:t>Preventon of and release from arrest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 promptly discharge:</w:t>
      </w:r>
    </w:p>
    <w:p>
      <w:pPr>
        <w:spacing w:after="0" w:line="183" w:lineRule="exact"/>
        <w:rPr>
          <w:sz w:val="20"/>
          <w:szCs w:val="20"/>
          <w:color w:val="auto"/>
        </w:rPr>
      </w:pPr>
    </w:p>
    <w:p>
      <w:pPr>
        <w:ind w:left="580" w:hanging="580"/>
        <w:spacing w:after="0" w:line="228" w:lineRule="auto"/>
        <w:tabs>
          <w:tab w:leader="none" w:pos="580" w:val="left"/>
        </w:tabs>
        <w:numPr>
          <w:ilvl w:val="0"/>
          <w:numId w:val="319"/>
        </w:numPr>
        <w:rPr>
          <w:rFonts w:ascii="Calibri" w:cs="Calibri" w:eastAsia="Calibri" w:hAnsi="Calibri"/>
          <w:sz w:val="18"/>
          <w:szCs w:val="18"/>
          <w:color w:val="auto"/>
        </w:rPr>
      </w:pPr>
      <w:r>
        <w:rPr>
          <w:rFonts w:ascii="Calibri" w:cs="Calibri" w:eastAsia="Calibri" w:hAnsi="Calibri"/>
          <w:sz w:val="18"/>
          <w:szCs w:val="18"/>
          <w:color w:val="auto"/>
        </w:rPr>
        <w:t>all liabilites which give or may give rise to maritme or possessory liens on or claims enforceable against the Ship and the Earnings or the Insurances of the Ship;</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19"/>
        </w:numPr>
        <w:rPr>
          <w:rFonts w:ascii="Calibri" w:cs="Calibri" w:eastAsia="Calibri" w:hAnsi="Calibri"/>
          <w:sz w:val="18"/>
          <w:szCs w:val="18"/>
          <w:color w:val="auto"/>
        </w:rPr>
      </w:pPr>
      <w:r>
        <w:rPr>
          <w:rFonts w:ascii="Calibri" w:cs="Calibri" w:eastAsia="Calibri" w:hAnsi="Calibri"/>
          <w:sz w:val="18"/>
          <w:szCs w:val="18"/>
          <w:color w:val="auto"/>
        </w:rPr>
        <w:t>all taxes, dues and other amounts charged in respect of the Ship and the Earnings or the Insurances of the Ship;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19"/>
        </w:numPr>
        <w:rPr>
          <w:rFonts w:ascii="Calibri" w:cs="Calibri" w:eastAsia="Calibri" w:hAnsi="Calibri"/>
          <w:sz w:val="18"/>
          <w:szCs w:val="18"/>
          <w:color w:val="auto"/>
        </w:rPr>
      </w:pPr>
      <w:r>
        <w:rPr>
          <w:rFonts w:ascii="Calibri" w:cs="Calibri" w:eastAsia="Calibri" w:hAnsi="Calibri"/>
          <w:sz w:val="18"/>
          <w:szCs w:val="18"/>
          <w:color w:val="auto"/>
        </w:rPr>
        <w:t>all other outgoings whatsoever in respect of the Ship and the Earnings or the Insurances of the Ship,</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and, forthwith upon receiving notce of the arrest of the Ship, or of its detenton in exercise or purported exercise of any lien or claim, the Owner shall procure its release by providing bail or otherwise as the circumstances may require.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14.10</w:t>
        <w:tab/>
        <w:t>Compliance with laws etc.</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w:t>
      </w:r>
    </w:p>
    <w:p>
      <w:pPr>
        <w:spacing w:after="0" w:line="183" w:lineRule="exact"/>
        <w:rPr>
          <w:sz w:val="20"/>
          <w:szCs w:val="20"/>
          <w:color w:val="auto"/>
        </w:rPr>
      </w:pPr>
    </w:p>
    <w:p>
      <w:pPr>
        <w:ind w:left="580" w:hanging="580"/>
        <w:spacing w:after="0" w:line="228" w:lineRule="auto"/>
        <w:tabs>
          <w:tab w:leader="none" w:pos="580" w:val="left"/>
        </w:tabs>
        <w:numPr>
          <w:ilvl w:val="0"/>
          <w:numId w:val="320"/>
        </w:numPr>
        <w:rPr>
          <w:rFonts w:ascii="Calibri" w:cs="Calibri" w:eastAsia="Calibri" w:hAnsi="Calibri"/>
          <w:sz w:val="18"/>
          <w:szCs w:val="18"/>
          <w:color w:val="auto"/>
        </w:rPr>
      </w:pPr>
      <w:r>
        <w:rPr>
          <w:rFonts w:ascii="Calibri" w:cs="Calibri" w:eastAsia="Calibri" w:hAnsi="Calibri"/>
          <w:sz w:val="18"/>
          <w:szCs w:val="18"/>
          <w:color w:val="auto"/>
        </w:rPr>
        <w:t>comply, or procure compliance with the ISM Code, the ISPS Code, all Environmental Laws and all other laws or regulatons relatng to the Ship, its ownership, operaton and management or to the business of the Owner;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20"/>
        </w:numPr>
        <w:rPr>
          <w:rFonts w:ascii="Calibri" w:cs="Calibri" w:eastAsia="Calibri" w:hAnsi="Calibri"/>
          <w:sz w:val="18"/>
          <w:szCs w:val="18"/>
          <w:color w:val="auto"/>
        </w:rPr>
      </w:pPr>
      <w:r>
        <w:rPr>
          <w:rFonts w:ascii="Calibri" w:cs="Calibri" w:eastAsia="Calibri" w:hAnsi="Calibri"/>
          <w:sz w:val="18"/>
          <w:szCs w:val="18"/>
          <w:color w:val="auto"/>
        </w:rPr>
        <w:t>not employ the Ship nor allow its employment in any manner contrary to any law or regulaton in any relevant jurisdicton including but not limited to the ISM Code and the ISPS Code; and</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204" w:name="page205"/>
    <w:bookmarkEnd w:id="204"/>
    <w:p>
      <w:pPr>
        <w:jc w:val="both"/>
        <w:ind w:left="580" w:hanging="580"/>
        <w:spacing w:after="0"/>
        <w:tabs>
          <w:tab w:leader="none" w:pos="580" w:val="left"/>
        </w:tabs>
        <w:numPr>
          <w:ilvl w:val="0"/>
          <w:numId w:val="321"/>
        </w:numPr>
        <w:rPr>
          <w:rFonts w:ascii="Calibri" w:cs="Calibri" w:eastAsia="Calibri" w:hAnsi="Calibri"/>
          <w:sz w:val="18"/>
          <w:szCs w:val="18"/>
          <w:color w:val="auto"/>
        </w:rPr>
      </w:pPr>
      <w:r>
        <w:rPr>
          <w:rFonts w:ascii="Calibri" w:cs="Calibri" w:eastAsia="Calibri" w:hAnsi="Calibri"/>
          <w:sz w:val="18"/>
          <w:szCs w:val="18"/>
          <w:color w:val="auto"/>
        </w:rPr>
        <w:t>in the event of hostlites in any part of the world (whether war is declared or not), not cause or permit the Ship to enter or trade to any zone which is declared a war zone by any government or by the Ship's war risks insurers unless the prior writen consent of the Security Trustee has been given and the Owner has (at its expense) efected any special, additonal or modifed insurance cover which the Security Trustee may require.</w:t>
      </w:r>
    </w:p>
    <w:p>
      <w:pPr>
        <w:spacing w:after="0" w:line="34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14.11</w:t>
        <w:tab/>
        <w:t>Provision of informaton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 promptly provide the Security Trustee with any informaton which it requests regarding:</w:t>
      </w:r>
    </w:p>
    <w:p>
      <w:pPr>
        <w:spacing w:after="0" w:line="181" w:lineRule="exact"/>
        <w:rPr>
          <w:sz w:val="20"/>
          <w:szCs w:val="20"/>
          <w:color w:val="auto"/>
        </w:rPr>
      </w:pPr>
    </w:p>
    <w:p>
      <w:pPr>
        <w:ind w:left="580" w:hanging="580"/>
        <w:spacing w:after="0"/>
        <w:tabs>
          <w:tab w:leader="none" w:pos="580" w:val="left"/>
        </w:tabs>
        <w:numPr>
          <w:ilvl w:val="0"/>
          <w:numId w:val="322"/>
        </w:numPr>
        <w:rPr>
          <w:rFonts w:ascii="Calibri" w:cs="Calibri" w:eastAsia="Calibri" w:hAnsi="Calibri"/>
          <w:sz w:val="18"/>
          <w:szCs w:val="18"/>
          <w:color w:val="auto"/>
        </w:rPr>
      </w:pPr>
      <w:r>
        <w:rPr>
          <w:rFonts w:ascii="Calibri" w:cs="Calibri" w:eastAsia="Calibri" w:hAnsi="Calibri"/>
          <w:sz w:val="18"/>
          <w:szCs w:val="18"/>
          <w:color w:val="auto"/>
        </w:rPr>
        <w:t>the Ship, its employment, positon and engagements;</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2"/>
        </w:numPr>
        <w:rPr>
          <w:rFonts w:ascii="Calibri" w:cs="Calibri" w:eastAsia="Calibri" w:hAnsi="Calibri"/>
          <w:sz w:val="18"/>
          <w:szCs w:val="18"/>
          <w:color w:val="auto"/>
        </w:rPr>
      </w:pPr>
      <w:r>
        <w:rPr>
          <w:rFonts w:ascii="Calibri" w:cs="Calibri" w:eastAsia="Calibri" w:hAnsi="Calibri"/>
          <w:sz w:val="18"/>
          <w:szCs w:val="18"/>
          <w:color w:val="auto"/>
        </w:rPr>
        <w:t>the Earnings and payments and amounts due to the master and crew of the Ship;</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22"/>
        </w:numPr>
        <w:rPr>
          <w:rFonts w:ascii="Calibri" w:cs="Calibri" w:eastAsia="Calibri" w:hAnsi="Calibri"/>
          <w:sz w:val="18"/>
          <w:szCs w:val="18"/>
          <w:color w:val="auto"/>
        </w:rPr>
      </w:pPr>
      <w:r>
        <w:rPr>
          <w:rFonts w:ascii="Calibri" w:cs="Calibri" w:eastAsia="Calibri" w:hAnsi="Calibri"/>
          <w:sz w:val="18"/>
          <w:szCs w:val="18"/>
          <w:color w:val="auto"/>
        </w:rPr>
        <w:t>any expenses incurred, or likely to be incurred, in connecton with the operaton, maintenance or repair of the Ship and any payments made in respect of the Ship;</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2"/>
        </w:numPr>
        <w:rPr>
          <w:rFonts w:ascii="Calibri" w:cs="Calibri" w:eastAsia="Calibri" w:hAnsi="Calibri"/>
          <w:sz w:val="18"/>
          <w:szCs w:val="18"/>
          <w:color w:val="auto"/>
        </w:rPr>
      </w:pPr>
      <w:r>
        <w:rPr>
          <w:rFonts w:ascii="Calibri" w:cs="Calibri" w:eastAsia="Calibri" w:hAnsi="Calibri"/>
          <w:sz w:val="18"/>
          <w:szCs w:val="18"/>
          <w:color w:val="auto"/>
        </w:rPr>
        <w:t>any towages and salvages;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2"/>
        </w:numPr>
        <w:rPr>
          <w:rFonts w:ascii="Calibri" w:cs="Calibri" w:eastAsia="Calibri" w:hAnsi="Calibri"/>
          <w:sz w:val="18"/>
          <w:szCs w:val="18"/>
          <w:color w:val="auto"/>
        </w:rPr>
      </w:pPr>
      <w:r>
        <w:rPr>
          <w:rFonts w:ascii="Calibri" w:cs="Calibri" w:eastAsia="Calibri" w:hAnsi="Calibri"/>
          <w:sz w:val="18"/>
          <w:szCs w:val="18"/>
          <w:color w:val="auto"/>
        </w:rPr>
        <w:t>its compliance, each Approved Manager's compliance and the compliance of the Ship with the ISM Code and the ISPS Code,</w:t>
      </w:r>
    </w:p>
    <w:p>
      <w:pPr>
        <w:spacing w:after="0" w:line="183"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and, upon the Security Trustee's request, provide copies of any current charter relatng to the Ship, of any current charter guarantee and copies of the Owner's or each Approved Manager's Document of Compliance, Safety Management Certfcate and the ISSC.</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14.12</w:t>
        <w:tab/>
        <w:t>Notfcaton of certain events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w:t>
      </w:r>
    </w:p>
    <w:p>
      <w:pPr>
        <w:spacing w:after="0" w:line="183" w:lineRule="exact"/>
        <w:rPr>
          <w:sz w:val="20"/>
          <w:szCs w:val="20"/>
          <w:color w:val="auto"/>
        </w:rPr>
      </w:pPr>
    </w:p>
    <w:p>
      <w:pPr>
        <w:jc w:val="both"/>
        <w:ind w:left="580" w:hanging="580"/>
        <w:spacing w:after="0"/>
        <w:tabs>
          <w:tab w:leader="none" w:pos="580" w:val="left"/>
        </w:tabs>
        <w:numPr>
          <w:ilvl w:val="0"/>
          <w:numId w:val="323"/>
        </w:numPr>
        <w:rPr>
          <w:rFonts w:ascii="Calibri" w:cs="Calibri" w:eastAsia="Calibri" w:hAnsi="Calibri"/>
          <w:sz w:val="18"/>
          <w:szCs w:val="18"/>
          <w:color w:val="auto"/>
        </w:rPr>
      </w:pPr>
      <w:r>
        <w:rPr>
          <w:rFonts w:ascii="Calibri" w:cs="Calibri" w:eastAsia="Calibri" w:hAnsi="Calibri"/>
          <w:sz w:val="18"/>
          <w:szCs w:val="18"/>
          <w:color w:val="auto"/>
        </w:rPr>
        <w:t>within 30 days afer entering into any demise or bareboat charter for any period in respect of its Ship or any other Assignable Charter in respect of its Ship, notfy the Agent and provide certfed true and complete copies of such charter and, if applicable, any charter guarantee and that:</w:t>
      </w:r>
    </w:p>
    <w:p>
      <w:pPr>
        <w:spacing w:after="0" w:line="362"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3"/>
        </w:numPr>
        <w:rPr>
          <w:rFonts w:ascii="Calibri" w:cs="Calibri" w:eastAsia="Calibri" w:hAnsi="Calibri"/>
          <w:sz w:val="18"/>
          <w:szCs w:val="18"/>
          <w:color w:val="auto"/>
        </w:rPr>
      </w:pPr>
      <w:r>
        <w:rPr>
          <w:rFonts w:ascii="Calibri" w:cs="Calibri" w:eastAsia="Calibri" w:hAnsi="Calibri"/>
          <w:sz w:val="18"/>
          <w:szCs w:val="18"/>
          <w:color w:val="auto"/>
        </w:rPr>
        <w:t>the Owner executes in favour of the Security Trustee a specifc assignment of all its rights, ttle and interest in and to such charter and any charter guarantee in the form of a Charterparty Assignment;</w:t>
      </w:r>
    </w:p>
    <w:p>
      <w:pPr>
        <w:spacing w:after="0" w:line="183" w:lineRule="exact"/>
        <w:rPr>
          <w:rFonts w:ascii="Calibri" w:cs="Calibri" w:eastAsia="Calibri" w:hAnsi="Calibri"/>
          <w:sz w:val="18"/>
          <w:szCs w:val="18"/>
          <w:color w:val="auto"/>
        </w:rPr>
      </w:pPr>
    </w:p>
    <w:p>
      <w:pPr>
        <w:jc w:val="both"/>
        <w:ind w:left="1180" w:hanging="591"/>
        <w:spacing w:after="0" w:line="222" w:lineRule="auto"/>
        <w:tabs>
          <w:tab w:leader="none" w:pos="1180" w:val="left"/>
        </w:tabs>
        <w:numPr>
          <w:ilvl w:val="1"/>
          <w:numId w:val="323"/>
        </w:numPr>
        <w:rPr>
          <w:rFonts w:ascii="Calibri" w:cs="Calibri" w:eastAsia="Calibri" w:hAnsi="Calibri"/>
          <w:sz w:val="18"/>
          <w:szCs w:val="18"/>
          <w:color w:val="auto"/>
        </w:rPr>
      </w:pPr>
      <w:r>
        <w:rPr>
          <w:rFonts w:ascii="Calibri" w:cs="Calibri" w:eastAsia="Calibri" w:hAnsi="Calibri"/>
          <w:sz w:val="18"/>
          <w:szCs w:val="18"/>
          <w:color w:val="auto"/>
        </w:rPr>
        <w:t>to use its reasonable endeavours to procure that (1) the charterer and any charter guarantor agree to acknowledge to the Security Trustee the specifc assignment of such charter and charter guarantee by executng an acknowledgement substantally in the form included in the relevant Charterparty Assignment and (2) that the Mortgage over the Ship has been registered prior to the entry into such charter, the charterer provides to the Security Trustee a leter of undertaking pursuant to which the charterer subordinates all its claims against the Owner and the Ship to the claims of the Creditor Partes under or in connecton with the Finance Documents in the Agreed Form;</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3"/>
        </w:numPr>
        <w:rPr>
          <w:rFonts w:ascii="Calibri" w:cs="Calibri" w:eastAsia="Calibri" w:hAnsi="Calibri"/>
          <w:sz w:val="18"/>
          <w:szCs w:val="18"/>
          <w:color w:val="auto"/>
        </w:rPr>
      </w:pPr>
      <w:r>
        <w:rPr>
          <w:rFonts w:ascii="Calibri" w:cs="Calibri" w:eastAsia="Calibri" w:hAnsi="Calibri"/>
          <w:sz w:val="18"/>
          <w:szCs w:val="18"/>
          <w:color w:val="auto"/>
        </w:rPr>
        <w:t>in the case where such charter is a demise charter the charterer undertakes to the Security Trustee (1) to comply with all of the Owner's undertakings with regard to the employment, insurances, operaton, repairs and maintenance of its Ship contained in</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05" w:name="page206"/>
    <w:bookmarkEnd w:id="205"/>
    <w:p>
      <w:pPr>
        <w:jc w:val="both"/>
        <w:ind w:left="1180"/>
        <w:spacing w:after="0"/>
        <w:rPr>
          <w:sz w:val="20"/>
          <w:szCs w:val="20"/>
          <w:color w:val="auto"/>
        </w:rPr>
      </w:pPr>
      <w:r>
        <w:rPr>
          <w:rFonts w:ascii="Calibri" w:cs="Calibri" w:eastAsia="Calibri" w:hAnsi="Calibri"/>
          <w:sz w:val="18"/>
          <w:szCs w:val="18"/>
          <w:color w:val="auto"/>
        </w:rPr>
        <w:t>this Agreement, the Mortgage, any Deed of Covenant and the General Assignment in relaton to the Ship and (2) to execute a Bareboat Charter Security Agreement, including (inter alia) an assignment of its interest in the insurances of the Ship in Agreed Form;</w:t>
      </w:r>
    </w:p>
    <w:p>
      <w:pPr>
        <w:spacing w:after="0" w:line="362" w:lineRule="exact"/>
        <w:rPr>
          <w:sz w:val="20"/>
          <w:szCs w:val="20"/>
          <w:color w:val="auto"/>
        </w:rPr>
      </w:pPr>
    </w:p>
    <w:p>
      <w:pPr>
        <w:jc w:val="both"/>
        <w:ind w:left="1180" w:hanging="591"/>
        <w:spacing w:after="0" w:line="222" w:lineRule="auto"/>
        <w:tabs>
          <w:tab w:leader="none" w:pos="1180" w:val="left"/>
        </w:tabs>
        <w:numPr>
          <w:ilvl w:val="1"/>
          <w:numId w:val="324"/>
        </w:numPr>
        <w:rPr>
          <w:rFonts w:ascii="Calibri" w:cs="Calibri" w:eastAsia="Calibri" w:hAnsi="Calibri"/>
          <w:sz w:val="18"/>
          <w:szCs w:val="18"/>
          <w:color w:val="auto"/>
        </w:rPr>
      </w:pPr>
      <w:r>
        <w:rPr>
          <w:rFonts w:ascii="Calibri" w:cs="Calibri" w:eastAsia="Calibri" w:hAnsi="Calibri"/>
          <w:sz w:val="18"/>
          <w:szCs w:val="18"/>
          <w:color w:val="auto"/>
        </w:rPr>
        <w:t>the Agent's receipt of a copy of the charter and its failure or neglect to act, delay or acquiescence in connecton with the Owner's entering into such charter shall not in any way consttute an acceptance by the Agent of whether or not the Earnings under the charter are sufcient to meet the debt service requirements under this Agreement nor shall it in any way afect the Agent's or the Security Trustee's enttlement to exercise its rights under the Finance Documents pursuant to Clause 19 upon the occurrence of an Event of Default arising as a result of an act or omission of the charterer; and</w:t>
      </w:r>
    </w:p>
    <w:p>
      <w:pPr>
        <w:spacing w:after="0" w:line="186"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4"/>
        </w:numPr>
        <w:rPr>
          <w:rFonts w:ascii="Calibri" w:cs="Calibri" w:eastAsia="Calibri" w:hAnsi="Calibri"/>
          <w:sz w:val="18"/>
          <w:szCs w:val="18"/>
          <w:color w:val="auto"/>
        </w:rPr>
      </w:pPr>
      <w:r>
        <w:rPr>
          <w:rFonts w:ascii="Calibri" w:cs="Calibri" w:eastAsia="Calibri" w:hAnsi="Calibri"/>
          <w:sz w:val="18"/>
          <w:szCs w:val="18"/>
          <w:color w:val="auto"/>
        </w:rPr>
        <w:t>the Owner delivers to the Agent such other documents equivalent to those referred to at paragraphs 2, 3, 4, 5, 7, 8, 11 and 12 of Part A of Schedule 3, as the Agent may require;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5"/>
        </w:numPr>
        <w:rPr>
          <w:rFonts w:ascii="Calibri" w:cs="Calibri" w:eastAsia="Calibri" w:hAnsi="Calibri"/>
          <w:sz w:val="18"/>
          <w:szCs w:val="18"/>
          <w:color w:val="auto"/>
        </w:rPr>
      </w:pPr>
      <w:r>
        <w:rPr>
          <w:rFonts w:ascii="Calibri" w:cs="Calibri" w:eastAsia="Calibri" w:hAnsi="Calibri"/>
          <w:sz w:val="18"/>
          <w:szCs w:val="18"/>
          <w:color w:val="auto"/>
        </w:rPr>
        <w:t>immediately notfy the Security Trustee by leter, of:</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its entry into any agreement or arrangement for the postponement of any date on which any Earnings are due, the reducton of the amount of any Earnings or otherwise for the release or adverse alteraton of any right of the Owner to any Earnings;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its entry into any tme or consecutve voyage charter in respect of the Ship for a term which exceeds, or which by virtue of any optonal extensions may exceed, three months;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casualty which is or is likely to be or to become a Major Casualty;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occurrence as a result of which the Ship has become or is, by the passing of tme or otherwise, likely to become a Total Loss;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requirement, conditon or recommendaton made by any insurer or classifcaton society or by any competent authority which is not immediately complied with;</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arrest or detenton of the Ship, any exercise or purported exercise of any lien on the Ship or its Earnings or any requisiton of the Ship for hire;</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intended dry docking of the Ship;</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Environmental Claim made against the Owner or in connecton with the Ship, or any Environmental Incident;</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claim for breach of the ISM Code or the ISPS Code being made against the Owner, any Approved Manager or otherwise in connecton with the Ship;</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its intenton to de-actvate or lay up the Ship;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5"/>
        </w:numPr>
        <w:rPr>
          <w:rFonts w:ascii="Calibri" w:cs="Calibri" w:eastAsia="Calibri" w:hAnsi="Calibri"/>
          <w:sz w:val="18"/>
          <w:szCs w:val="18"/>
          <w:color w:val="auto"/>
        </w:rPr>
      </w:pPr>
      <w:r>
        <w:rPr>
          <w:rFonts w:ascii="Calibri" w:cs="Calibri" w:eastAsia="Calibri" w:hAnsi="Calibri"/>
          <w:sz w:val="18"/>
          <w:szCs w:val="18"/>
          <w:color w:val="auto"/>
        </w:rPr>
        <w:t>any other mater, event or incident, actual or threatened, the efect of which will or could lead to the ISM Code or the ISPS Code not being complied with,</w:t>
      </w:r>
    </w:p>
    <w:p>
      <w:pPr>
        <w:spacing w:after="0" w:line="183" w:lineRule="exact"/>
        <w:rPr>
          <w:sz w:val="20"/>
          <w:szCs w:val="20"/>
          <w:color w:val="auto"/>
        </w:rPr>
      </w:pPr>
    </w:p>
    <w:p>
      <w:pPr>
        <w:jc w:val="both"/>
        <w:ind w:left="5540"/>
        <w:spacing w:after="0"/>
        <w:tabs>
          <w:tab w:leader="none" w:pos="9919"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06" w:name="page207"/>
    <w:bookmarkEnd w:id="206"/>
    <w:p>
      <w:pPr>
        <w:ind w:left="1180"/>
        <w:spacing w:after="0" w:line="228" w:lineRule="auto"/>
        <w:rPr>
          <w:sz w:val="20"/>
          <w:szCs w:val="20"/>
          <w:color w:val="auto"/>
        </w:rPr>
      </w:pPr>
      <w:r>
        <w:rPr>
          <w:rFonts w:ascii="Calibri" w:cs="Calibri" w:eastAsia="Calibri" w:hAnsi="Calibri"/>
          <w:sz w:val="18"/>
          <w:szCs w:val="18"/>
          <w:color w:val="auto"/>
        </w:rPr>
        <w:t>and the Owner shall keep the Security Trustee advised in writng on a regular basis and in such detail as the Security Trustee shall require of the Owner's, each Approved Manager's or any other person's response to any of those events or maters.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14.13</w:t>
        <w:tab/>
        <w:t>Restrictons on chartering, appointment of managers etc.</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 not, in relaton to the Ship:</w:t>
      </w:r>
    </w:p>
    <w:p>
      <w:pPr>
        <w:spacing w:after="0" w:line="181" w:lineRule="exact"/>
        <w:rPr>
          <w:sz w:val="20"/>
          <w:szCs w:val="20"/>
          <w:color w:val="auto"/>
        </w:rPr>
      </w:pPr>
    </w:p>
    <w:p>
      <w:pPr>
        <w:ind w:left="580" w:hanging="580"/>
        <w:spacing w:after="0"/>
        <w:tabs>
          <w:tab w:leader="none" w:pos="580" w:val="left"/>
        </w:tabs>
        <w:numPr>
          <w:ilvl w:val="0"/>
          <w:numId w:val="326"/>
        </w:numPr>
        <w:rPr>
          <w:rFonts w:ascii="Calibri" w:cs="Calibri" w:eastAsia="Calibri" w:hAnsi="Calibri"/>
          <w:sz w:val="18"/>
          <w:szCs w:val="18"/>
          <w:color w:val="auto"/>
        </w:rPr>
      </w:pPr>
      <w:r>
        <w:rPr>
          <w:rFonts w:ascii="Calibri" w:cs="Calibri" w:eastAsia="Calibri" w:hAnsi="Calibri"/>
          <w:sz w:val="18"/>
          <w:szCs w:val="18"/>
          <w:color w:val="auto"/>
        </w:rPr>
        <w:t>enter into any charter in relaton to the Ship under which more than 2 months' hire (or the equivalent) is payable in advance;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6"/>
        </w:numPr>
        <w:rPr>
          <w:rFonts w:ascii="Calibri" w:cs="Calibri" w:eastAsia="Calibri" w:hAnsi="Calibri"/>
          <w:sz w:val="18"/>
          <w:szCs w:val="18"/>
          <w:color w:val="auto"/>
        </w:rPr>
      </w:pPr>
      <w:r>
        <w:rPr>
          <w:rFonts w:ascii="Calibri" w:cs="Calibri" w:eastAsia="Calibri" w:hAnsi="Calibri"/>
          <w:sz w:val="18"/>
          <w:szCs w:val="18"/>
          <w:color w:val="auto"/>
        </w:rPr>
        <w:t>charter the Ship otherwise than on bona fde arm's length terms at the tme when the Ship is fxed;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26"/>
        </w:numPr>
        <w:rPr>
          <w:rFonts w:ascii="Calibri" w:cs="Calibri" w:eastAsia="Calibri" w:hAnsi="Calibri"/>
          <w:sz w:val="18"/>
          <w:szCs w:val="18"/>
          <w:color w:val="auto"/>
        </w:rPr>
      </w:pPr>
      <w:r>
        <w:rPr>
          <w:rFonts w:ascii="Calibri" w:cs="Calibri" w:eastAsia="Calibri" w:hAnsi="Calibri"/>
          <w:sz w:val="18"/>
          <w:szCs w:val="18"/>
          <w:color w:val="auto"/>
        </w:rPr>
        <w:t>appoint a manager of the Ship other than an Approved Manager or agree to any alteraton to the terms of any Approved Manager's appointment;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26"/>
        </w:numPr>
        <w:rPr>
          <w:rFonts w:ascii="Calibri" w:cs="Calibri" w:eastAsia="Calibri" w:hAnsi="Calibri"/>
          <w:sz w:val="18"/>
          <w:szCs w:val="18"/>
          <w:color w:val="auto"/>
        </w:rPr>
      </w:pPr>
      <w:r>
        <w:rPr>
          <w:rFonts w:ascii="Calibri" w:cs="Calibri" w:eastAsia="Calibri" w:hAnsi="Calibri"/>
          <w:sz w:val="18"/>
          <w:szCs w:val="18"/>
          <w:color w:val="auto"/>
        </w:rPr>
        <w:t>put the Ship into the possession of any person for the purpose of work being done upon it in an amount exceeding or likely to exceed $3,000,000 (or the equivalent in any other currency) unless that person has frst given to the Security Trustee and in terms satsfactory to it a writen undertaking not to exercise any lien on the Ship or its Earnings for the cost of such work or for any other reason.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14.14</w:t>
        <w:tab/>
        <w:t>Notce of Mortgage</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shall procure that the Owner shall keep the Mortgage registered against the Ship as a valid frst preferred or, as the case may be, priority mortgage, carry on board the Ship a certfed copy of that Mortgage and place and maintain in a conspicuous place in the navigaton room and the Master's cabin of the Ship a framed printed notce statng that the Ship is mortgaged by the Owner to the Security Trustee.</w:t>
      </w:r>
    </w:p>
    <w:p>
      <w:pPr>
        <w:spacing w:after="0" w:line="34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14.15</w:t>
        <w:tab/>
        <w:t>Sharing of Earnings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procure that no Owner shall enter into any agreement or arrangement for the sharing of any Earnings (other than (i) any proft sharing agreement with a charterer which takes efect above an agreed minimum charter hire rate payable to the Owner under a charter and (ii) any pool agreement, in either case, on bona fde arm's length terms).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14.16</w:t>
        <w:tab/>
        <w:t>ISPS Code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complies with the ISPS Code and in partcular, without limitaton, shall:</w:t>
      </w:r>
    </w:p>
    <w:p>
      <w:pPr>
        <w:spacing w:after="0" w:line="181" w:lineRule="exact"/>
        <w:rPr>
          <w:sz w:val="20"/>
          <w:szCs w:val="20"/>
          <w:color w:val="auto"/>
        </w:rPr>
      </w:pPr>
    </w:p>
    <w:p>
      <w:pPr>
        <w:ind w:left="580" w:hanging="580"/>
        <w:spacing w:after="0"/>
        <w:tabs>
          <w:tab w:leader="none" w:pos="580" w:val="left"/>
        </w:tabs>
        <w:numPr>
          <w:ilvl w:val="0"/>
          <w:numId w:val="327"/>
        </w:numPr>
        <w:rPr>
          <w:rFonts w:ascii="Calibri" w:cs="Calibri" w:eastAsia="Calibri" w:hAnsi="Calibri"/>
          <w:sz w:val="18"/>
          <w:szCs w:val="18"/>
          <w:color w:val="auto"/>
        </w:rPr>
      </w:pPr>
      <w:r>
        <w:rPr>
          <w:rFonts w:ascii="Calibri" w:cs="Calibri" w:eastAsia="Calibri" w:hAnsi="Calibri"/>
          <w:sz w:val="18"/>
          <w:szCs w:val="18"/>
          <w:color w:val="auto"/>
        </w:rPr>
        <w:t>procure that the Ship and the company responsible for the Ship's compliance with the ISPS Code comply with the ISPS Code;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7"/>
        </w:numPr>
        <w:rPr>
          <w:rFonts w:ascii="Calibri" w:cs="Calibri" w:eastAsia="Calibri" w:hAnsi="Calibri"/>
          <w:sz w:val="18"/>
          <w:szCs w:val="18"/>
          <w:color w:val="auto"/>
        </w:rPr>
      </w:pPr>
      <w:r>
        <w:rPr>
          <w:rFonts w:ascii="Calibri" w:cs="Calibri" w:eastAsia="Calibri" w:hAnsi="Calibri"/>
          <w:sz w:val="18"/>
          <w:szCs w:val="18"/>
          <w:color w:val="auto"/>
        </w:rPr>
        <w:t>maintain for the Ship an ISSC;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7"/>
        </w:numPr>
        <w:rPr>
          <w:rFonts w:ascii="Calibri" w:cs="Calibri" w:eastAsia="Calibri" w:hAnsi="Calibri"/>
          <w:sz w:val="18"/>
          <w:szCs w:val="18"/>
          <w:color w:val="auto"/>
        </w:rPr>
      </w:pPr>
      <w:r>
        <w:rPr>
          <w:rFonts w:ascii="Calibri" w:cs="Calibri" w:eastAsia="Calibri" w:hAnsi="Calibri"/>
          <w:sz w:val="18"/>
          <w:szCs w:val="18"/>
          <w:color w:val="auto"/>
        </w:rPr>
        <w:t>notfy the Agent immediately in writng of any actual or threatened withdrawal, suspension, cancellaton or modifcaton of the ISSC.</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07" w:name="page208"/>
    <w:bookmarkEnd w:id="207"/>
    <w:p>
      <w:pPr>
        <w:spacing w:after="0"/>
        <w:tabs>
          <w:tab w:leader="none" w:pos="560" w:val="left"/>
        </w:tabs>
        <w:rPr>
          <w:sz w:val="20"/>
          <w:szCs w:val="20"/>
          <w:color w:val="auto"/>
        </w:rPr>
      </w:pPr>
      <w:r>
        <w:rPr>
          <w:rFonts w:ascii="Calibri" w:cs="Calibri" w:eastAsia="Calibri" w:hAnsi="Calibri"/>
          <w:sz w:val="18"/>
          <w:szCs w:val="18"/>
          <w:b w:val="1"/>
          <w:bCs w:val="1"/>
          <w:color w:val="auto"/>
        </w:rPr>
        <w:t>14.17</w:t>
        <w:tab/>
        <w:t>Green Passport and green scrapping</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procure that the Owner shall:</w:t>
      </w:r>
    </w:p>
    <w:p>
      <w:pPr>
        <w:spacing w:after="0" w:line="181" w:lineRule="exact"/>
        <w:rPr>
          <w:sz w:val="20"/>
          <w:szCs w:val="20"/>
          <w:color w:val="auto"/>
        </w:rPr>
      </w:pPr>
    </w:p>
    <w:p>
      <w:pPr>
        <w:ind w:left="580" w:hanging="580"/>
        <w:spacing w:after="0"/>
        <w:tabs>
          <w:tab w:leader="none" w:pos="580" w:val="left"/>
        </w:tabs>
        <w:numPr>
          <w:ilvl w:val="0"/>
          <w:numId w:val="328"/>
        </w:numPr>
        <w:rPr>
          <w:rFonts w:ascii="Calibri" w:cs="Calibri" w:eastAsia="Calibri" w:hAnsi="Calibri"/>
          <w:sz w:val="18"/>
          <w:szCs w:val="18"/>
          <w:color w:val="auto"/>
        </w:rPr>
      </w:pPr>
      <w:r>
        <w:rPr>
          <w:rFonts w:ascii="Calibri" w:cs="Calibri" w:eastAsia="Calibri" w:hAnsi="Calibri"/>
          <w:sz w:val="18"/>
          <w:szCs w:val="18"/>
          <w:color w:val="auto"/>
        </w:rPr>
        <w:t>obtain and maintain throughout the Security Period an Inventory of Hazardous Material in respect of the Ship owned by it;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28"/>
        </w:numPr>
        <w:rPr>
          <w:rFonts w:ascii="Calibri" w:cs="Calibri" w:eastAsia="Calibri" w:hAnsi="Calibri"/>
          <w:sz w:val="18"/>
          <w:szCs w:val="18"/>
          <w:color w:val="auto"/>
        </w:rPr>
      </w:pPr>
      <w:r>
        <w:rPr>
          <w:rFonts w:ascii="Calibri" w:cs="Calibri" w:eastAsia="Calibri" w:hAnsi="Calibri"/>
          <w:sz w:val="18"/>
          <w:szCs w:val="18"/>
          <w:color w:val="auto"/>
        </w:rPr>
        <w:t>provide the Agent with a copy of the Inventory of Hazardous Materials for the Ship owned by it and each update to, or amendment of, such Inventory of Hazardous Materials from tme to tme during the Security Period;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28"/>
        </w:numPr>
        <w:rPr>
          <w:rFonts w:ascii="Calibri" w:cs="Calibri" w:eastAsia="Calibri" w:hAnsi="Calibri"/>
          <w:sz w:val="18"/>
          <w:szCs w:val="18"/>
          <w:color w:val="auto"/>
        </w:rPr>
      </w:pPr>
      <w:r>
        <w:rPr>
          <w:rFonts w:ascii="Calibri" w:cs="Calibri" w:eastAsia="Calibri" w:hAnsi="Calibri"/>
          <w:sz w:val="18"/>
          <w:szCs w:val="18"/>
          <w:color w:val="auto"/>
        </w:rPr>
        <w:t>maintain a safe, sustainable and socially responsible policy with respect to the dismantling of the Ship owned by it and that Ship being taken out of service;</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28"/>
        </w:numPr>
        <w:rPr>
          <w:rFonts w:ascii="Calibri" w:cs="Calibri" w:eastAsia="Calibri" w:hAnsi="Calibri"/>
          <w:sz w:val="18"/>
          <w:szCs w:val="18"/>
          <w:color w:val="auto"/>
        </w:rPr>
      </w:pPr>
      <w:r>
        <w:rPr>
          <w:rFonts w:ascii="Calibri" w:cs="Calibri" w:eastAsia="Calibri" w:hAnsi="Calibri"/>
          <w:sz w:val="18"/>
          <w:szCs w:val="18"/>
          <w:color w:val="auto"/>
        </w:rPr>
        <w:t>ensure that, if during the Security Period, the Ship owned by it is sold for scrapping or sold to an intermediary with the intenton of being scrapped, that Ship is recycled at a recycling yard which conducts its recycling business in a socially and environmentally responsible manner, in accordance with the provisions of:</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the Hong Kong Conventon for the Safe and Environmentally Sound Recycling of Ships 2009 in relaton to non-EU fagged vessels;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the Internatonal Maritme Organisaton's Guidelines for the development of the Inventory of Hazardous Materials (Resoluton MEPC.269(68)) in relaton to non-EU fagged vessels;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Regulaton (EU) No. 127/2013 adopted by the EU Parliament and the Council of the European Union on 20 November 2013 in relaton to EU fagged vessels;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any other applicable laws or regulatons relatng to ship scrapping or ship recycling;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28"/>
        </w:numPr>
        <w:rPr>
          <w:rFonts w:ascii="Calibri" w:cs="Calibri" w:eastAsia="Calibri" w:hAnsi="Calibri"/>
          <w:sz w:val="18"/>
          <w:szCs w:val="18"/>
          <w:color w:val="auto"/>
        </w:rPr>
      </w:pPr>
      <w:r>
        <w:rPr>
          <w:rFonts w:ascii="Calibri" w:cs="Calibri" w:eastAsia="Calibri" w:hAnsi="Calibri"/>
          <w:sz w:val="18"/>
          <w:szCs w:val="18"/>
          <w:color w:val="auto"/>
        </w:rPr>
        <w:t>comply with Annex VI or any replacement of Annex VI and shall in partcular, without limitaton: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procure that the relevant Ship’s master and crew are familiar with, and that the Ship owned by it complied with, Annex VI;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8"/>
        </w:numPr>
        <w:rPr>
          <w:rFonts w:ascii="Calibri" w:cs="Calibri" w:eastAsia="Calibri" w:hAnsi="Calibri"/>
          <w:sz w:val="18"/>
          <w:szCs w:val="18"/>
          <w:color w:val="auto"/>
        </w:rPr>
      </w:pPr>
      <w:r>
        <w:rPr>
          <w:rFonts w:ascii="Calibri" w:cs="Calibri" w:eastAsia="Calibri" w:hAnsi="Calibri"/>
          <w:sz w:val="18"/>
          <w:szCs w:val="18"/>
          <w:color w:val="auto"/>
        </w:rPr>
        <w:t>maintain for the Ship owned by it throughout the Security Period a valid and current IAPPC and provide a copy to the Agent.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14.18</w:t>
        <w:tab/>
        <w:t>Sustainability reportng</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at its own cost, startng with the calendar year ending 31 December 2022, supply or procure the supply by the Approved Classifcaton Society to the Agent of all informaton regarding the annual emissions in respect of each Ship for the preceding calendar year as provided to the IMO.</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08" w:name="page209"/>
    <w:bookmarkEnd w:id="208"/>
    <w:p>
      <w:pPr>
        <w:spacing w:after="0"/>
        <w:tabs>
          <w:tab w:leader="none" w:pos="560" w:val="left"/>
        </w:tabs>
        <w:rPr>
          <w:sz w:val="20"/>
          <w:szCs w:val="20"/>
          <w:color w:val="auto"/>
        </w:rPr>
      </w:pPr>
      <w:r>
        <w:rPr>
          <w:rFonts w:ascii="Calibri" w:cs="Calibri" w:eastAsia="Calibri" w:hAnsi="Calibri"/>
          <w:sz w:val="18"/>
          <w:szCs w:val="18"/>
          <w:b w:val="1"/>
          <w:bCs w:val="1"/>
          <w:color w:val="auto"/>
        </w:rPr>
        <w:t>15</w:t>
      </w:r>
      <w:r>
        <w:rPr>
          <w:sz w:val="20"/>
          <w:szCs w:val="20"/>
          <w:color w:val="auto"/>
        </w:rPr>
        <w:tab/>
      </w:r>
      <w:r>
        <w:rPr>
          <w:rFonts w:ascii="Calibri" w:cs="Calibri" w:eastAsia="Calibri" w:hAnsi="Calibri"/>
          <w:sz w:val="18"/>
          <w:szCs w:val="18"/>
          <w:b w:val="1"/>
          <w:bCs w:val="1"/>
          <w:color w:val="auto"/>
        </w:rPr>
        <w:t>SECURITY COVER</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15.1</w:t>
        <w:tab/>
        <w:t>Minimum required security cover</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Clause 15.2 applies if the Agent notfes the Borrower that the Security Cover Rato is below 125 per cent.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15.2</w:t>
        <w:tab/>
        <w:t>Prepayment; provision of additonal security</w:t>
      </w:r>
    </w:p>
    <w:p>
      <w:pPr>
        <w:spacing w:after="0" w:line="183" w:lineRule="exact"/>
        <w:rPr>
          <w:sz w:val="20"/>
          <w:szCs w:val="20"/>
          <w:color w:val="auto"/>
        </w:rPr>
      </w:pPr>
    </w:p>
    <w:p>
      <w:pPr>
        <w:jc w:val="both"/>
        <w:ind w:left="600"/>
        <w:spacing w:after="0" w:line="222" w:lineRule="auto"/>
        <w:rPr>
          <w:sz w:val="20"/>
          <w:szCs w:val="20"/>
          <w:color w:val="auto"/>
        </w:rPr>
      </w:pPr>
      <w:r>
        <w:rPr>
          <w:rFonts w:ascii="Calibri" w:cs="Calibri" w:eastAsia="Calibri" w:hAnsi="Calibri"/>
          <w:sz w:val="18"/>
          <w:szCs w:val="18"/>
          <w:color w:val="auto"/>
        </w:rPr>
        <w:t>If the Agent serves a notce on the Borrower under Clause 15.1, the Borrower shall prepay such part at least of the Loan as will eliminate the shortall on or before the date falling 21 Business Days afer the date on which the Agent's notce is served under Clause 15.1 (the "</w:t>
      </w:r>
      <w:r>
        <w:rPr>
          <w:rFonts w:ascii="Calibri" w:cs="Calibri" w:eastAsia="Calibri" w:hAnsi="Calibri"/>
          <w:sz w:val="18"/>
          <w:szCs w:val="18"/>
          <w:b w:val="1"/>
          <w:bCs w:val="1"/>
          <w:color w:val="auto"/>
        </w:rPr>
        <w:t>Prepayment Date</w:t>
      </w:r>
      <w:r>
        <w:rPr>
          <w:rFonts w:ascii="Calibri" w:cs="Calibri" w:eastAsia="Calibri" w:hAnsi="Calibri"/>
          <w:sz w:val="18"/>
          <w:szCs w:val="18"/>
          <w:color w:val="auto"/>
        </w:rPr>
        <w:t>") unless at least 5 calendar days before the Prepayment Date the Borrower has provided, or ensured that a third party has provided, additonal security acceptable to the Agent (actng on the instructons of the Majority Lenders) which, in the opinion of the Majority Lenders, has a net realisable value at least equal to the shortall and is documented in such terms as the Agent may, with the authorisaton of the Majority Lenders, approve or require.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15.3</w:t>
        <w:tab/>
        <w:t>Valuaton of Ship</w:t>
      </w:r>
    </w:p>
    <w:p>
      <w:pPr>
        <w:spacing w:after="0" w:line="183" w:lineRule="exact"/>
        <w:rPr>
          <w:sz w:val="20"/>
          <w:szCs w:val="20"/>
          <w:color w:val="auto"/>
        </w:rPr>
      </w:pPr>
    </w:p>
    <w:p>
      <w:pPr>
        <w:ind w:left="580" w:hanging="580"/>
        <w:spacing w:after="0" w:line="228" w:lineRule="auto"/>
        <w:tabs>
          <w:tab w:leader="none" w:pos="580" w:val="left"/>
        </w:tabs>
        <w:numPr>
          <w:ilvl w:val="0"/>
          <w:numId w:val="329"/>
        </w:numPr>
        <w:rPr>
          <w:rFonts w:ascii="Calibri" w:cs="Calibri" w:eastAsia="Calibri" w:hAnsi="Calibri"/>
          <w:sz w:val="18"/>
          <w:szCs w:val="18"/>
          <w:color w:val="auto"/>
        </w:rPr>
      </w:pPr>
      <w:r>
        <w:rPr>
          <w:rFonts w:ascii="Calibri" w:cs="Calibri" w:eastAsia="Calibri" w:hAnsi="Calibri"/>
          <w:sz w:val="18"/>
          <w:szCs w:val="18"/>
          <w:color w:val="auto"/>
        </w:rPr>
        <w:t>The Market Value of a Ship for the purpose of determinaton of the Inital Market Value of the Ship, is that shown by one valuaton issued by an Approved Broker, selected and appointed by the Agent.</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29"/>
        </w:numPr>
        <w:rPr>
          <w:rFonts w:ascii="Calibri" w:cs="Calibri" w:eastAsia="Calibri" w:hAnsi="Calibri"/>
          <w:sz w:val="18"/>
          <w:szCs w:val="18"/>
          <w:color w:val="auto"/>
        </w:rPr>
      </w:pPr>
      <w:r>
        <w:rPr>
          <w:rFonts w:ascii="Calibri" w:cs="Calibri" w:eastAsia="Calibri" w:hAnsi="Calibri"/>
          <w:sz w:val="18"/>
          <w:szCs w:val="18"/>
          <w:color w:val="auto"/>
        </w:rPr>
        <w:t>The Market Value of the Ship or other Fleet Vessel at any other date is that shown by taking the arithmetc mean of two valuatons requested by the Agent to be issued by two Approved Brokers, selected and appointed by the Borrower (unless the Borrower does not select or appoint two Approved Brokers within 14 days afer the Agent's request, in which case the Agent shall select and appoint one Approved Broker and the Market Value of the Ship or other Fleet Vessel shall be that shown by the single valuaton issued by such Approved Broker).</w:t>
      </w:r>
    </w:p>
    <w:p>
      <w:pPr>
        <w:spacing w:after="0" w:line="321" w:lineRule="exact"/>
        <w:rPr>
          <w:rFonts w:ascii="Calibri" w:cs="Calibri" w:eastAsia="Calibri" w:hAnsi="Calibri"/>
          <w:sz w:val="18"/>
          <w:szCs w:val="18"/>
          <w:color w:val="auto"/>
        </w:rPr>
      </w:pPr>
    </w:p>
    <w:p>
      <w:pPr>
        <w:ind w:left="580" w:hanging="580"/>
        <w:spacing w:after="0"/>
        <w:tabs>
          <w:tab w:leader="none" w:pos="580" w:val="left"/>
        </w:tabs>
        <w:numPr>
          <w:ilvl w:val="0"/>
          <w:numId w:val="329"/>
        </w:numPr>
        <w:rPr>
          <w:rFonts w:ascii="Calibri" w:cs="Calibri" w:eastAsia="Calibri" w:hAnsi="Calibri"/>
          <w:sz w:val="18"/>
          <w:szCs w:val="18"/>
          <w:color w:val="auto"/>
        </w:rPr>
      </w:pPr>
      <w:r>
        <w:rPr>
          <w:rFonts w:ascii="Calibri" w:cs="Calibri" w:eastAsia="Calibri" w:hAnsi="Calibri"/>
          <w:sz w:val="18"/>
          <w:szCs w:val="18"/>
          <w:color w:val="auto"/>
        </w:rPr>
        <w:t>Each valuaton referred to in paragraphs (a) and (b) above shall be prepared: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9"/>
        </w:numPr>
        <w:rPr>
          <w:rFonts w:ascii="Calibri" w:cs="Calibri" w:eastAsia="Calibri" w:hAnsi="Calibri"/>
          <w:sz w:val="18"/>
          <w:szCs w:val="18"/>
          <w:color w:val="auto"/>
        </w:rPr>
      </w:pPr>
      <w:r>
        <w:rPr>
          <w:rFonts w:ascii="Calibri" w:cs="Calibri" w:eastAsia="Calibri" w:hAnsi="Calibri"/>
          <w:sz w:val="18"/>
          <w:szCs w:val="18"/>
          <w:color w:val="auto"/>
        </w:rPr>
        <w:t>as at a date not more than 30 days previously;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29"/>
        </w:numPr>
        <w:rPr>
          <w:rFonts w:ascii="Calibri" w:cs="Calibri" w:eastAsia="Calibri" w:hAnsi="Calibri"/>
          <w:sz w:val="18"/>
          <w:szCs w:val="18"/>
          <w:color w:val="auto"/>
        </w:rPr>
      </w:pPr>
      <w:r>
        <w:rPr>
          <w:rFonts w:ascii="Calibri" w:cs="Calibri" w:eastAsia="Calibri" w:hAnsi="Calibri"/>
          <w:sz w:val="18"/>
          <w:szCs w:val="18"/>
          <w:color w:val="auto"/>
        </w:rPr>
        <w:t>with or without physical inspecton of the Ship (as the Agent may require);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29"/>
        </w:numPr>
        <w:rPr>
          <w:rFonts w:ascii="Calibri" w:cs="Calibri" w:eastAsia="Calibri" w:hAnsi="Calibri"/>
          <w:sz w:val="18"/>
          <w:szCs w:val="18"/>
          <w:color w:val="auto"/>
        </w:rPr>
      </w:pPr>
      <w:r>
        <w:rPr>
          <w:rFonts w:ascii="Calibri" w:cs="Calibri" w:eastAsia="Calibri" w:hAnsi="Calibri"/>
          <w:sz w:val="18"/>
          <w:szCs w:val="18"/>
          <w:color w:val="auto"/>
        </w:rPr>
        <w:t>on the basis of a sale for prompt delivery for cash on normal arm's length commercial terms as between a willing seller and a willing buyer, free of any existng charter or other contract of employment</w:t>
      </w:r>
    </w:p>
    <w:p>
      <w:pPr>
        <w:spacing w:after="0" w:line="184" w:lineRule="exact"/>
        <w:rPr>
          <w:sz w:val="20"/>
          <w:szCs w:val="20"/>
          <w:color w:val="auto"/>
        </w:rPr>
      </w:pPr>
    </w:p>
    <w:p>
      <w:pPr>
        <w:jc w:val="both"/>
        <w:ind w:left="600"/>
        <w:spacing w:after="0"/>
        <w:rPr>
          <w:sz w:val="20"/>
          <w:szCs w:val="20"/>
          <w:color w:val="auto"/>
        </w:rPr>
      </w:pPr>
      <w:r>
        <w:rPr>
          <w:rFonts w:ascii="Calibri" w:cs="Calibri" w:eastAsia="Calibri" w:hAnsi="Calibri"/>
          <w:sz w:val="18"/>
          <w:szCs w:val="18"/>
          <w:b w:val="1"/>
          <w:bCs w:val="1"/>
          <w:color w:val="auto"/>
        </w:rPr>
        <w:t xml:space="preserve">Provided that </w:t>
      </w:r>
      <w:r>
        <w:rPr>
          <w:rFonts w:ascii="Calibri" w:cs="Calibri" w:eastAsia="Calibri" w:hAnsi="Calibri"/>
          <w:sz w:val="18"/>
          <w:szCs w:val="18"/>
          <w:color w:val="auto"/>
        </w:rPr>
        <w:t>if the higher of the two valuatons in respect of the Ship or other Fleet Vessel issued for the purpose of determinaton of its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Market Value pursuant to paragraph (b) of this Clause 15.3 shows a value of more than 15 per cent. of that shown by the lower of the two valuatons, a third valuaton shall be requested from a third Approved Broker selected and appointed by the Agent to be prepared in accordance with this Clause 15.3 and the Market Value of the Ship or other Fleet Vessel in such circumstances shall be the arithmetc mean of all three valuatons.</w:t>
      </w:r>
    </w:p>
    <w:p>
      <w:pPr>
        <w:spacing w:after="0" w:line="32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09" w:name="page210"/>
    <w:bookmarkEnd w:id="209"/>
    <w:p>
      <w:pPr>
        <w:spacing w:after="0"/>
        <w:tabs>
          <w:tab w:leader="none" w:pos="560" w:val="left"/>
        </w:tabs>
        <w:rPr>
          <w:sz w:val="20"/>
          <w:szCs w:val="20"/>
          <w:color w:val="auto"/>
        </w:rPr>
      </w:pPr>
      <w:r>
        <w:rPr>
          <w:rFonts w:ascii="Calibri" w:cs="Calibri" w:eastAsia="Calibri" w:hAnsi="Calibri"/>
          <w:sz w:val="18"/>
          <w:szCs w:val="18"/>
          <w:b w:val="1"/>
          <w:bCs w:val="1"/>
          <w:color w:val="auto"/>
        </w:rPr>
        <w:t>15.4</w:t>
        <w:tab/>
        <w:t>Value of additonal vessel security</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net realisable value of any additonal security which is provided under Clause 15.2 and which consists of a Security Interest over a vessel shall be that shown by a valuaton complying with the requirements of Clause 15.3.</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15.5</w:t>
        <w:tab/>
        <w:t>Valuatons binding</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Any valuaton under Clause 15.2, 15.3 or 15.4 shall be binding and conclusive as regards the Borrower, as shall be any valuaton which the Majority Lenders make of any additonal security which does not consist of or include a Security Interest.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15.6</w:t>
        <w:tab/>
        <w:t>Provision of informaton</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shall promptly provide the Agent and any Approved Broker or expert actng under Clause 15.3 or 15.4 with any informaton which the Agent or that Approved Broker or expert may request for the purposes of the valuaton; and, if the Borrower fails to provide the informaton by the date specifed in the request, the valuaton may be made on any basis and assumptons which that Approved Broker or the Majority Lenders (or the expert appointed by them) consider prudent.</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15.7</w:t>
        <w:tab/>
        <w:t>Payment of valuaton expenses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Without prejudice to the generality of the Borrower's obligatons under Clauses 20.2, 20.3 and 21.3, the Borrower shall, on demand, pay the Agent the documented amount of the fees and expenses of any Approved Broker or expert instructed by the Agent under this Clause and all legal and other expenses incurred by any Creditor Party in connecton with any mater arising out of this Clause.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15.8</w:t>
        <w:tab/>
        <w:t>Frequency of valuatons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acknowledges and agrees that the Agent may commission valuaton(s) of the Ship at such tmes as the Agent (actng on the instructons of the Lenders) shall deem necessary and, in any event, not less than once during each 6-month period of the Security Period. The Borrower shall be responsible for the cost of two valuatons per year, unless an Event of Default or Potental Event of Default is contnuing</w:t>
      </w:r>
    </w:p>
    <w:p>
      <w:pPr>
        <w:spacing w:after="0" w:line="341" w:lineRule="exact"/>
        <w:rPr>
          <w:sz w:val="20"/>
          <w:szCs w:val="20"/>
          <w:color w:val="auto"/>
        </w:rPr>
      </w:pPr>
    </w:p>
    <w:p>
      <w:pPr>
        <w:ind w:left="580" w:hanging="580"/>
        <w:spacing w:after="0"/>
        <w:tabs>
          <w:tab w:leader="none" w:pos="580" w:val="left"/>
        </w:tabs>
        <w:numPr>
          <w:ilvl w:val="0"/>
          <w:numId w:val="33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PAYMENTS AND CALCULATIONS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3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Currency and method of payments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All payments to be made by the Lenders or by the Borrower under a Finance Document shall be made to the Agent or to the Security Trustee, in the case of an amount payable to it:</w:t>
      </w:r>
    </w:p>
    <w:p>
      <w:pPr>
        <w:spacing w:after="0" w:line="182" w:lineRule="exact"/>
        <w:rPr>
          <w:sz w:val="20"/>
          <w:szCs w:val="20"/>
          <w:color w:val="auto"/>
        </w:rPr>
      </w:pPr>
    </w:p>
    <w:p>
      <w:pPr>
        <w:ind w:left="580" w:hanging="580"/>
        <w:spacing w:after="0"/>
        <w:tabs>
          <w:tab w:leader="none" w:pos="580" w:val="left"/>
        </w:tabs>
        <w:numPr>
          <w:ilvl w:val="0"/>
          <w:numId w:val="332"/>
        </w:numPr>
        <w:rPr>
          <w:rFonts w:ascii="Calibri" w:cs="Calibri" w:eastAsia="Calibri" w:hAnsi="Calibri"/>
          <w:sz w:val="18"/>
          <w:szCs w:val="18"/>
          <w:color w:val="auto"/>
        </w:rPr>
      </w:pPr>
      <w:r>
        <w:rPr>
          <w:rFonts w:ascii="Calibri" w:cs="Calibri" w:eastAsia="Calibri" w:hAnsi="Calibri"/>
          <w:sz w:val="18"/>
          <w:szCs w:val="18"/>
          <w:color w:val="auto"/>
        </w:rPr>
        <w:t>by not later than 11.00 a.m. (New York City tme) on the due date;</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32"/>
        </w:numPr>
        <w:rPr>
          <w:rFonts w:ascii="Calibri" w:cs="Calibri" w:eastAsia="Calibri" w:hAnsi="Calibri"/>
          <w:sz w:val="18"/>
          <w:szCs w:val="18"/>
          <w:color w:val="auto"/>
        </w:rPr>
      </w:pPr>
      <w:r>
        <w:rPr>
          <w:rFonts w:ascii="Calibri" w:cs="Calibri" w:eastAsia="Calibri" w:hAnsi="Calibri"/>
          <w:sz w:val="18"/>
          <w:szCs w:val="18"/>
          <w:color w:val="auto"/>
        </w:rPr>
        <w:t>in same day Dollar funds setled through the New York Clearing House Interbank Payments System (or in such other Dollar funds and/or setled in such other manner as the Agent shall specify as being customary at the tme for the setlement of internatonal transactons of the type contemplated by this Agreement);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32"/>
        </w:numPr>
        <w:rPr>
          <w:rFonts w:ascii="Calibri" w:cs="Calibri" w:eastAsia="Calibri" w:hAnsi="Calibri"/>
          <w:sz w:val="18"/>
          <w:szCs w:val="18"/>
          <w:color w:val="auto"/>
        </w:rPr>
      </w:pPr>
      <w:r>
        <w:rPr>
          <w:rFonts w:ascii="Calibri" w:cs="Calibri" w:eastAsia="Calibri" w:hAnsi="Calibri"/>
          <w:sz w:val="18"/>
          <w:szCs w:val="18"/>
          <w:color w:val="auto"/>
        </w:rPr>
        <w:t>in the case of an amount payable by a Lender to the Agent or by the Borrower to the Agent or any Lender, to the account of the Agent at J.P. Morgan Chase Bank (SWIFT Code CHASUS33)</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10" w:name="page211"/>
    <w:bookmarkEnd w:id="210"/>
    <w:p>
      <w:pPr>
        <w:jc w:val="both"/>
        <w:ind w:left="600"/>
        <w:spacing w:after="0" w:line="225" w:lineRule="auto"/>
        <w:rPr>
          <w:sz w:val="20"/>
          <w:szCs w:val="20"/>
          <w:color w:val="auto"/>
        </w:rPr>
      </w:pPr>
      <w:r>
        <w:rPr>
          <w:rFonts w:ascii="Calibri" w:cs="Calibri" w:eastAsia="Calibri" w:hAnsi="Calibri"/>
          <w:sz w:val="18"/>
          <w:szCs w:val="18"/>
          <w:color w:val="auto"/>
        </w:rPr>
        <w:t>(Account No. 001 1331 808 in favour of Hamburg Commercial Bank AG, SWIFT Code HSHNDEHH; Reference "Capital Product Partners L.P. - US$105m facility") or to such other account with such other bank as the Agent may from tme to tme notfy to the Borrower and the other Creditor Partes; and</w:t>
      </w:r>
    </w:p>
    <w:p>
      <w:pPr>
        <w:spacing w:after="0" w:line="184" w:lineRule="exact"/>
        <w:rPr>
          <w:sz w:val="20"/>
          <w:szCs w:val="20"/>
          <w:color w:val="auto"/>
        </w:rPr>
      </w:pPr>
    </w:p>
    <w:p>
      <w:pPr>
        <w:ind w:left="580" w:hanging="580"/>
        <w:spacing w:after="0" w:line="228" w:lineRule="auto"/>
        <w:tabs>
          <w:tab w:leader="none" w:pos="580" w:val="left"/>
        </w:tabs>
        <w:numPr>
          <w:ilvl w:val="0"/>
          <w:numId w:val="333"/>
        </w:numPr>
        <w:rPr>
          <w:rFonts w:ascii="Calibri" w:cs="Calibri" w:eastAsia="Calibri" w:hAnsi="Calibri"/>
          <w:sz w:val="18"/>
          <w:szCs w:val="18"/>
          <w:color w:val="auto"/>
        </w:rPr>
      </w:pPr>
      <w:r>
        <w:rPr>
          <w:rFonts w:ascii="Calibri" w:cs="Calibri" w:eastAsia="Calibri" w:hAnsi="Calibri"/>
          <w:sz w:val="18"/>
          <w:szCs w:val="18"/>
          <w:color w:val="auto"/>
        </w:rPr>
        <w:t>in the case of an amount payable to the Security Trustee, to such account as it may from tme to tme notfy to the Borrower and the other Creditor Partes.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16.2</w:t>
        <w:tab/>
        <w:t>Payment on non-Business Day</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If any payment by the Borrower under a Finance Document would otherwise fall due on a day which is not a Business Day:</w:t>
      </w:r>
    </w:p>
    <w:p>
      <w:pPr>
        <w:spacing w:after="0" w:line="181" w:lineRule="exact"/>
        <w:rPr>
          <w:sz w:val="20"/>
          <w:szCs w:val="20"/>
          <w:color w:val="auto"/>
        </w:rPr>
      </w:pPr>
    </w:p>
    <w:p>
      <w:pPr>
        <w:ind w:left="580" w:hanging="580"/>
        <w:spacing w:after="0"/>
        <w:tabs>
          <w:tab w:leader="none" w:pos="580" w:val="left"/>
        </w:tabs>
        <w:numPr>
          <w:ilvl w:val="0"/>
          <w:numId w:val="334"/>
        </w:numPr>
        <w:rPr>
          <w:rFonts w:ascii="Calibri" w:cs="Calibri" w:eastAsia="Calibri" w:hAnsi="Calibri"/>
          <w:sz w:val="18"/>
          <w:szCs w:val="18"/>
          <w:color w:val="auto"/>
        </w:rPr>
      </w:pPr>
      <w:r>
        <w:rPr>
          <w:rFonts w:ascii="Calibri" w:cs="Calibri" w:eastAsia="Calibri" w:hAnsi="Calibri"/>
          <w:sz w:val="18"/>
          <w:szCs w:val="18"/>
          <w:color w:val="auto"/>
        </w:rPr>
        <w:t>the due date shall be extended to the next succeeding Business Day;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34"/>
        </w:numPr>
        <w:rPr>
          <w:rFonts w:ascii="Calibri" w:cs="Calibri" w:eastAsia="Calibri" w:hAnsi="Calibri"/>
          <w:sz w:val="18"/>
          <w:szCs w:val="18"/>
          <w:color w:val="auto"/>
        </w:rPr>
      </w:pPr>
      <w:r>
        <w:rPr>
          <w:rFonts w:ascii="Calibri" w:cs="Calibri" w:eastAsia="Calibri" w:hAnsi="Calibri"/>
          <w:sz w:val="18"/>
          <w:szCs w:val="18"/>
          <w:color w:val="auto"/>
        </w:rPr>
        <w:t>if the next succeeding Business Day falls in the next calendar month, the due date shall be brought forward to the immediately preceding Business Day,</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and interest shall be payable during any extension under paragraph (a) at the rate payable on the original due date.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16.3</w:t>
        <w:tab/>
        <w:t>Basis for calculaton of periodic payments</w:t>
      </w:r>
    </w:p>
    <w:p>
      <w:pPr>
        <w:spacing w:after="0" w:line="183" w:lineRule="exact"/>
        <w:rPr>
          <w:sz w:val="20"/>
          <w:szCs w:val="20"/>
          <w:color w:val="auto"/>
        </w:rPr>
      </w:pPr>
    </w:p>
    <w:p>
      <w:pPr>
        <w:ind w:left="580" w:hanging="580"/>
        <w:spacing w:after="0" w:line="228" w:lineRule="auto"/>
        <w:tabs>
          <w:tab w:leader="none" w:pos="580" w:val="left"/>
        </w:tabs>
        <w:numPr>
          <w:ilvl w:val="0"/>
          <w:numId w:val="335"/>
        </w:numPr>
        <w:rPr>
          <w:rFonts w:ascii="Calibri" w:cs="Calibri" w:eastAsia="Calibri" w:hAnsi="Calibri"/>
          <w:sz w:val="18"/>
          <w:szCs w:val="18"/>
          <w:color w:val="auto"/>
        </w:rPr>
      </w:pPr>
      <w:r>
        <w:rPr>
          <w:rFonts w:ascii="Calibri" w:cs="Calibri" w:eastAsia="Calibri" w:hAnsi="Calibri"/>
          <w:sz w:val="18"/>
          <w:szCs w:val="18"/>
          <w:color w:val="auto"/>
        </w:rPr>
        <w:t>Any interest, commission or fee accruing under a Finance Document will accrue from day to day and the amount of any such interest, commission or fee is calculated: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35"/>
        </w:numPr>
        <w:rPr>
          <w:rFonts w:ascii="Calibri" w:cs="Calibri" w:eastAsia="Calibri" w:hAnsi="Calibri"/>
          <w:sz w:val="18"/>
          <w:szCs w:val="18"/>
          <w:color w:val="auto"/>
        </w:rPr>
      </w:pPr>
      <w:r>
        <w:rPr>
          <w:rFonts w:ascii="Calibri" w:cs="Calibri" w:eastAsia="Calibri" w:hAnsi="Calibri"/>
          <w:sz w:val="18"/>
          <w:szCs w:val="18"/>
          <w:color w:val="auto"/>
        </w:rPr>
        <w:t>on the basis of the actual number of days elapsed and a year of 360 days or, in any case where the practce in the Relevant Market difers, in accordance with that market practce;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35"/>
        </w:numPr>
        <w:rPr>
          <w:rFonts w:ascii="Calibri" w:cs="Calibri" w:eastAsia="Calibri" w:hAnsi="Calibri"/>
          <w:sz w:val="18"/>
          <w:szCs w:val="18"/>
          <w:color w:val="auto"/>
        </w:rPr>
      </w:pPr>
      <w:r>
        <w:rPr>
          <w:rFonts w:ascii="Calibri" w:cs="Calibri" w:eastAsia="Calibri" w:hAnsi="Calibri"/>
          <w:sz w:val="18"/>
          <w:szCs w:val="18"/>
          <w:color w:val="auto"/>
        </w:rPr>
        <w:t>subject to paragraph (b) below, without rounding.</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35"/>
        </w:numPr>
        <w:rPr>
          <w:rFonts w:ascii="Calibri" w:cs="Calibri" w:eastAsia="Calibri" w:hAnsi="Calibri"/>
          <w:sz w:val="18"/>
          <w:szCs w:val="18"/>
          <w:color w:val="auto"/>
        </w:rPr>
      </w:pPr>
      <w:r>
        <w:rPr>
          <w:rFonts w:ascii="Calibri" w:cs="Calibri" w:eastAsia="Calibri" w:hAnsi="Calibri"/>
          <w:sz w:val="18"/>
          <w:szCs w:val="18"/>
          <w:color w:val="auto"/>
        </w:rPr>
        <w:t>The aggregate amount of any accrued interest, commission or fee which is, or becomes, payable by the Borrower or any Security Party or any Approved Manager under a Finance Document shall be rounded to two decimal places.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16.4</w:t>
        <w:tab/>
        <w:t>Distributon of payments to Creditor Partes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Clauses 16.5, 16.6 and 16.7:</w:t>
      </w:r>
    </w:p>
    <w:p>
      <w:pPr>
        <w:spacing w:after="0" w:line="183" w:lineRule="exact"/>
        <w:rPr>
          <w:sz w:val="20"/>
          <w:szCs w:val="20"/>
          <w:color w:val="auto"/>
        </w:rPr>
      </w:pPr>
    </w:p>
    <w:p>
      <w:pPr>
        <w:jc w:val="both"/>
        <w:ind w:left="580" w:hanging="580"/>
        <w:spacing w:after="0"/>
        <w:tabs>
          <w:tab w:leader="none" w:pos="580" w:val="left"/>
        </w:tabs>
        <w:numPr>
          <w:ilvl w:val="0"/>
          <w:numId w:val="336"/>
        </w:numPr>
        <w:rPr>
          <w:rFonts w:ascii="Calibri" w:cs="Calibri" w:eastAsia="Calibri" w:hAnsi="Calibri"/>
          <w:sz w:val="18"/>
          <w:szCs w:val="18"/>
          <w:color w:val="auto"/>
        </w:rPr>
      </w:pPr>
      <w:r>
        <w:rPr>
          <w:rFonts w:ascii="Calibri" w:cs="Calibri" w:eastAsia="Calibri" w:hAnsi="Calibri"/>
          <w:sz w:val="18"/>
          <w:szCs w:val="18"/>
          <w:color w:val="auto"/>
        </w:rPr>
        <w:t>any amount received by the Agent under a Finance Document for distributon or remitance to a Lender or the Security Trustee shall be made available by the Agent to that Lender or, as the case may be, the Security Trustee by payment, with funds having the same value as the funds received, to such account as the Lender or the Security Trustee may have notfed to the Agent not less than 5 Business Days previously; and</w:t>
      </w:r>
    </w:p>
    <w:p>
      <w:pPr>
        <w:spacing w:after="0" w:line="342"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36"/>
        </w:numPr>
        <w:rPr>
          <w:rFonts w:ascii="Calibri" w:cs="Calibri" w:eastAsia="Calibri" w:hAnsi="Calibri"/>
          <w:sz w:val="18"/>
          <w:szCs w:val="18"/>
          <w:color w:val="auto"/>
        </w:rPr>
      </w:pPr>
      <w:r>
        <w:rPr>
          <w:rFonts w:ascii="Calibri" w:cs="Calibri" w:eastAsia="Calibri" w:hAnsi="Calibri"/>
          <w:sz w:val="18"/>
          <w:szCs w:val="18"/>
          <w:color w:val="auto"/>
        </w:rPr>
        <w:t>amounts to be applied in satsfying amounts of a partcular category which are due to the Lenders generally shall be distributed by the Agent to each Lender pro rata to the amount in that category which is due to it.</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11" w:name="page212"/>
    <w:bookmarkEnd w:id="211"/>
    <w:p>
      <w:pPr>
        <w:spacing w:after="0"/>
        <w:tabs>
          <w:tab w:leader="none" w:pos="560" w:val="left"/>
        </w:tabs>
        <w:rPr>
          <w:sz w:val="20"/>
          <w:szCs w:val="20"/>
          <w:color w:val="auto"/>
        </w:rPr>
      </w:pPr>
      <w:r>
        <w:rPr>
          <w:rFonts w:ascii="Calibri" w:cs="Calibri" w:eastAsia="Calibri" w:hAnsi="Calibri"/>
          <w:sz w:val="18"/>
          <w:szCs w:val="18"/>
          <w:b w:val="1"/>
          <w:bCs w:val="1"/>
          <w:color w:val="auto"/>
        </w:rPr>
        <w:t>16.5</w:t>
        <w:tab/>
        <w:t>Permited deductons by Agent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Notwithstanding any other provision of this Agreement or any other Finance Document, the Agent may, before making an amount available to a Lender, deduct and withhold from that amount any sum which is then due and payable to the Agent from that Lender under any Finance Document or any sum which the Agent is then enttled under any Finance Document to require that Lender to pay on demand.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16.6</w:t>
        <w:tab/>
        <w:t>Agent only obliged to pay when monies received</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Notwithstanding any other provision of this Agreement or any other Finance Document, the Agent shall not be obliged to make available to the Borrower or any Lender any sum which the Agent is expectng to receive for remitance or distributon to the Borrower or that Lender untl the Agent has satsfed itself that it has received that sum.</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16.7</w:t>
        <w:tab/>
        <w:t>Refund to Agent of monies not received</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If and to the extent that the Agent makes available a sum to the Borrower or a Lender, without frst having received that sum, the Borrower or (as the case may be) the Lender concerned shall, on demand:</w:t>
      </w:r>
    </w:p>
    <w:p>
      <w:pPr>
        <w:spacing w:after="0" w:line="182" w:lineRule="exact"/>
        <w:rPr>
          <w:sz w:val="20"/>
          <w:szCs w:val="20"/>
          <w:color w:val="auto"/>
        </w:rPr>
      </w:pPr>
    </w:p>
    <w:p>
      <w:pPr>
        <w:ind w:left="580" w:hanging="580"/>
        <w:spacing w:after="0"/>
        <w:tabs>
          <w:tab w:leader="none" w:pos="580" w:val="left"/>
        </w:tabs>
        <w:numPr>
          <w:ilvl w:val="0"/>
          <w:numId w:val="337"/>
        </w:numPr>
        <w:rPr>
          <w:rFonts w:ascii="Calibri" w:cs="Calibri" w:eastAsia="Calibri" w:hAnsi="Calibri"/>
          <w:sz w:val="18"/>
          <w:szCs w:val="18"/>
          <w:color w:val="auto"/>
        </w:rPr>
      </w:pPr>
      <w:r>
        <w:rPr>
          <w:rFonts w:ascii="Calibri" w:cs="Calibri" w:eastAsia="Calibri" w:hAnsi="Calibri"/>
          <w:sz w:val="18"/>
          <w:szCs w:val="18"/>
          <w:color w:val="auto"/>
        </w:rPr>
        <w:t>refund the sum in full to the Agent;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37"/>
        </w:numPr>
        <w:rPr>
          <w:rFonts w:ascii="Calibri" w:cs="Calibri" w:eastAsia="Calibri" w:hAnsi="Calibri"/>
          <w:sz w:val="18"/>
          <w:szCs w:val="18"/>
          <w:color w:val="auto"/>
        </w:rPr>
      </w:pPr>
      <w:r>
        <w:rPr>
          <w:rFonts w:ascii="Calibri" w:cs="Calibri" w:eastAsia="Calibri" w:hAnsi="Calibri"/>
          <w:sz w:val="18"/>
          <w:szCs w:val="18"/>
          <w:color w:val="auto"/>
        </w:rPr>
        <w:t>pay to the Agent the amount (as certfed by the Agent) which will indemnify the Agent against any funding or other loss, liability or expense incurred by the Agent as a result of making the sum available before receiving it.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16.8</w:t>
        <w:tab/>
        <w:t>Agent may assume receipt</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Clause 16.7 shall not afect any claim which the Agent has under the law of resttuton, and applies irrespectve of whether the Agent had any form of notce that it had not received the sum which it made available.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16.9</w:t>
        <w:tab/>
        <w:t>Creditor Party accounts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Each Creditor Party shall maintain accounts showing the amounts owing to it by the Borrower, each Security Party and any Approved Manager under the Finance Documents and all payments in respect of those amounts made by the Borrower, any Security Party and any Approved Manager.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16.10</w:t>
        <w:tab/>
        <w:t>Agent's memorandum account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shall maintain a memorandum account showing the amounts advanced by the Lenders and all other sums owing to the Agent, the Security Trustee and each Lender from the Borrower, each Security Party and any Approved Manager under the Finance Documents and all payments in respect of those amounts made by the Borrower, any Security Party and any Approved Manager.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16.11</w:t>
        <w:tab/>
        <w:t>Accounts prima facie evidence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If any accounts maintained under Clauses 16.9 and 16.10 show an amount to be owing by the Borrower or a Security Party or an Approved Manager to a Creditor Party, those accounts shall be prima facie evidence that that amount is owing to that Creditor Party.</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69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12" w:name="page213"/>
    <w:bookmarkEnd w:id="212"/>
    <w:p>
      <w:pPr>
        <w:ind w:left="580" w:hanging="580"/>
        <w:spacing w:after="0"/>
        <w:tabs>
          <w:tab w:leader="none" w:pos="580" w:val="left"/>
        </w:tabs>
        <w:numPr>
          <w:ilvl w:val="0"/>
          <w:numId w:val="33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APPLICATION OF RECEIPTS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3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Normal order of applicaton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Except as any Finance Document may otherwise provide, any sums which are received or recovered by any Creditor Party under or by virtue of any Finance Document shall be applied:</w:t>
      </w:r>
    </w:p>
    <w:p>
      <w:pPr>
        <w:spacing w:after="0" w:line="184" w:lineRule="exact"/>
        <w:rPr>
          <w:sz w:val="20"/>
          <w:szCs w:val="20"/>
          <w:color w:val="auto"/>
        </w:rPr>
      </w:pPr>
    </w:p>
    <w:p>
      <w:pPr>
        <w:ind w:left="580" w:hanging="580"/>
        <w:spacing w:after="0"/>
        <w:tabs>
          <w:tab w:leader="none" w:pos="580" w:val="left"/>
        </w:tabs>
        <w:numPr>
          <w:ilvl w:val="0"/>
          <w:numId w:val="340"/>
        </w:numPr>
        <w:rPr>
          <w:rFonts w:ascii="Calibri" w:cs="Calibri" w:eastAsia="Calibri" w:hAnsi="Calibri"/>
          <w:sz w:val="18"/>
          <w:szCs w:val="18"/>
          <w:color w:val="auto"/>
        </w:rPr>
      </w:pPr>
      <w:r>
        <w:rPr>
          <w:rFonts w:ascii="Calibri" w:cs="Calibri" w:eastAsia="Calibri" w:hAnsi="Calibri"/>
          <w:sz w:val="18"/>
          <w:szCs w:val="18"/>
          <w:color w:val="auto"/>
        </w:rPr>
        <w:t>FIRST: in or towards satsfacton of any amounts then due and payable under the Finance Documents in the following order and proportons:</w:t>
      </w:r>
    </w:p>
    <w:p>
      <w:pPr>
        <w:spacing w:after="0" w:line="381"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340"/>
        </w:numPr>
        <w:rPr>
          <w:rFonts w:ascii="Calibri" w:cs="Calibri" w:eastAsia="Calibri" w:hAnsi="Calibri"/>
          <w:sz w:val="18"/>
          <w:szCs w:val="18"/>
          <w:color w:val="auto"/>
        </w:rPr>
      </w:pPr>
      <w:r>
        <w:rPr>
          <w:rFonts w:ascii="Calibri" w:cs="Calibri" w:eastAsia="Calibri" w:hAnsi="Calibri"/>
          <w:sz w:val="18"/>
          <w:szCs w:val="18"/>
          <w:color w:val="auto"/>
        </w:rPr>
        <w:t>frst, in or towards satsfacton pro rata of all amounts then due and payable to the Creditor Partes under the Finance Documents (including, but without limitaton, all amounts payable by the Borrower under Clauses 20, 21 and 22 of this Agreement or by the Borrower or any Security Party or any Approved Manager under any corresponding or similar provision in any other Finance Document) other than those amounts referred to at paragraphs (ii), and (iii);</w:t>
      </w:r>
    </w:p>
    <w:p>
      <w:pPr>
        <w:spacing w:after="0" w:line="185"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40"/>
        </w:numPr>
        <w:rPr>
          <w:rFonts w:ascii="Calibri" w:cs="Calibri" w:eastAsia="Calibri" w:hAnsi="Calibri"/>
          <w:sz w:val="18"/>
          <w:szCs w:val="18"/>
          <w:color w:val="auto"/>
        </w:rPr>
      </w:pPr>
      <w:r>
        <w:rPr>
          <w:rFonts w:ascii="Calibri" w:cs="Calibri" w:eastAsia="Calibri" w:hAnsi="Calibri"/>
          <w:sz w:val="18"/>
          <w:szCs w:val="18"/>
          <w:color w:val="auto"/>
        </w:rPr>
        <w:t>secondly, in or towards satsfacton pro rata of any and all amounts of interest or default interest payable to the Creditor Partes under the Finance Documents;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40"/>
        </w:numPr>
        <w:rPr>
          <w:rFonts w:ascii="Calibri" w:cs="Calibri" w:eastAsia="Calibri" w:hAnsi="Calibri"/>
          <w:sz w:val="18"/>
          <w:szCs w:val="18"/>
          <w:color w:val="auto"/>
        </w:rPr>
      </w:pPr>
      <w:r>
        <w:rPr>
          <w:rFonts w:ascii="Calibri" w:cs="Calibri" w:eastAsia="Calibri" w:hAnsi="Calibri"/>
          <w:sz w:val="18"/>
          <w:szCs w:val="18"/>
          <w:color w:val="auto"/>
        </w:rPr>
        <w:t>thirdly, in or towards satsfacton pro rata of the Loan;</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40"/>
        </w:numPr>
        <w:rPr>
          <w:rFonts w:ascii="Calibri" w:cs="Calibri" w:eastAsia="Calibri" w:hAnsi="Calibri"/>
          <w:sz w:val="18"/>
          <w:szCs w:val="18"/>
          <w:color w:val="auto"/>
        </w:rPr>
      </w:pPr>
      <w:r>
        <w:rPr>
          <w:rFonts w:ascii="Calibri" w:cs="Calibri" w:eastAsia="Calibri" w:hAnsi="Calibri"/>
          <w:sz w:val="18"/>
          <w:szCs w:val="18"/>
          <w:color w:val="auto"/>
        </w:rPr>
        <w:t>SECONDLY: in retenton (in an interest bearing account) of an amount equal to any amount not then due and payable under any Finance Document but which the Agent, by notce to the Borrower, the Security Partes and the other Creditor Partes, states in its opinion will either or may become due and payable in the future and, upon those amounts becoming due and payable, in or towards satsfacton of them in accordance with the provisions of Clause 17.1(a); and</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340"/>
        </w:numPr>
        <w:rPr>
          <w:rFonts w:ascii="Calibri" w:cs="Calibri" w:eastAsia="Calibri" w:hAnsi="Calibri"/>
          <w:sz w:val="18"/>
          <w:szCs w:val="18"/>
          <w:color w:val="auto"/>
        </w:rPr>
      </w:pPr>
      <w:r>
        <w:rPr>
          <w:rFonts w:ascii="Calibri" w:cs="Calibri" w:eastAsia="Calibri" w:hAnsi="Calibri"/>
          <w:sz w:val="18"/>
          <w:szCs w:val="18"/>
          <w:color w:val="auto"/>
        </w:rPr>
        <w:t>THIRDLY: any surplus shall be paid to the Borrower or to any other person appearing to be enttled to it.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17.2</w:t>
        <w:tab/>
        <w:t>Applicaton by any covered bond Lender</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If and to the extent that any Lender includes the Loan and/or a Mortgage in its covered bond register, any enforcement proceeds recovered under any of the Finance Documents and atributable to that Lender under the relevant Finance Document shall, notwithstanding the provisions of Clause 17.1(a), be applied by it frst to the part of the Loan that corresponds to that Lender's Contributon registered in its covered bond register and thereafer in the following order:</w:t>
      </w:r>
    </w:p>
    <w:p>
      <w:pPr>
        <w:spacing w:after="0" w:line="183" w:lineRule="exact"/>
        <w:rPr>
          <w:sz w:val="20"/>
          <w:szCs w:val="20"/>
          <w:color w:val="auto"/>
        </w:rPr>
      </w:pPr>
    </w:p>
    <w:p>
      <w:pPr>
        <w:ind w:left="580" w:hanging="580"/>
        <w:spacing w:after="0"/>
        <w:tabs>
          <w:tab w:leader="none" w:pos="580" w:val="left"/>
        </w:tabs>
        <w:numPr>
          <w:ilvl w:val="0"/>
          <w:numId w:val="341"/>
        </w:numPr>
        <w:rPr>
          <w:rFonts w:ascii="Calibri" w:cs="Calibri" w:eastAsia="Calibri" w:hAnsi="Calibri"/>
          <w:sz w:val="18"/>
          <w:szCs w:val="18"/>
          <w:color w:val="auto"/>
        </w:rPr>
      </w:pPr>
      <w:r>
        <w:rPr>
          <w:rFonts w:ascii="Calibri" w:cs="Calibri" w:eastAsia="Calibri" w:hAnsi="Calibri"/>
          <w:sz w:val="18"/>
          <w:szCs w:val="18"/>
          <w:color w:val="auto"/>
        </w:rPr>
        <w:t>frst, in or towards satsfacton of the amounts set out under Clause 17.1(a)(i);</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41"/>
        </w:numPr>
        <w:rPr>
          <w:rFonts w:ascii="Calibri" w:cs="Calibri" w:eastAsia="Calibri" w:hAnsi="Calibri"/>
          <w:sz w:val="18"/>
          <w:szCs w:val="18"/>
          <w:color w:val="auto"/>
        </w:rPr>
      </w:pPr>
      <w:r>
        <w:rPr>
          <w:rFonts w:ascii="Calibri" w:cs="Calibri" w:eastAsia="Calibri" w:hAnsi="Calibri"/>
          <w:sz w:val="18"/>
          <w:szCs w:val="18"/>
          <w:color w:val="auto"/>
        </w:rPr>
        <w:t>secondly, in or towards satsfacton of the amounts set out under Clause 17.1(a)(ii);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41"/>
        </w:numPr>
        <w:rPr>
          <w:rFonts w:ascii="Calibri" w:cs="Calibri" w:eastAsia="Calibri" w:hAnsi="Calibri"/>
          <w:sz w:val="18"/>
          <w:szCs w:val="18"/>
          <w:color w:val="auto"/>
        </w:rPr>
      </w:pPr>
      <w:r>
        <w:rPr>
          <w:rFonts w:ascii="Calibri" w:cs="Calibri" w:eastAsia="Calibri" w:hAnsi="Calibri"/>
          <w:sz w:val="18"/>
          <w:szCs w:val="18"/>
          <w:color w:val="auto"/>
        </w:rPr>
        <w:t xml:space="preserve">thirdly, in or towards satsfacton </w:t>
      </w:r>
      <w:r>
        <w:rPr>
          <w:rFonts w:ascii="Calibri" w:cs="Calibri" w:eastAsia="Calibri" w:hAnsi="Calibri"/>
          <w:sz w:val="18"/>
          <w:szCs w:val="18"/>
          <w:i w:val="1"/>
          <w:iCs w:val="1"/>
          <w:color w:val="auto"/>
        </w:rPr>
        <w:t>pro rata</w:t>
      </w:r>
      <w:r>
        <w:rPr>
          <w:rFonts w:ascii="Calibri" w:cs="Calibri" w:eastAsia="Calibri" w:hAnsi="Calibri"/>
          <w:sz w:val="18"/>
          <w:szCs w:val="18"/>
          <w:color w:val="auto"/>
        </w:rPr>
        <w:t xml:space="preserve"> of any part of the Loan that corresponds to any unregistered part of that Lender's contributon.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17.3</w:t>
        <w:tab/>
        <w:t>Variaton of order of applicaton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Agent may, with the authorisaton of the Majority Lenders, by notce to the Borrower, the Security Partes and the other Creditor Partes provide for a diferent manner of applicaton from that set out in Clause 17.1 (but not, for the avoidance of doubt, that set out in</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13" w:name="page214"/>
    <w:bookmarkEnd w:id="213"/>
    <w:p>
      <w:pPr>
        <w:ind w:left="600"/>
        <w:spacing w:after="0"/>
        <w:rPr>
          <w:sz w:val="20"/>
          <w:szCs w:val="20"/>
          <w:color w:val="auto"/>
        </w:rPr>
      </w:pPr>
      <w:r>
        <w:rPr>
          <w:rFonts w:ascii="Calibri" w:cs="Calibri" w:eastAsia="Calibri" w:hAnsi="Calibri"/>
          <w:sz w:val="18"/>
          <w:szCs w:val="18"/>
          <w:color w:val="auto"/>
        </w:rPr>
        <w:t>Clause 17.2) either as regards a specifed sum or sums or as regards sums in a specifed category or categories.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17.4</w:t>
        <w:tab/>
        <w:t>Notce of variaton of order of applicaton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may give notces under Clause 17.3 from tme to tme; and such a notce may be stated to apply not only to sums which may be received or recovered in the future, but also to any sum which has been received or recovered on or afer the third Business Day before the date on which the notce is served.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17.5</w:t>
        <w:tab/>
        <w:t>Appropriaton rights overridden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This Clause 17 and any notce which the Agent gives under Clause 17.3 shall override any right of appropriaton possessed, and any appropriaton made, by the Borrower or any Security Party or any Approved Manager.</w:t>
      </w:r>
    </w:p>
    <w:p>
      <w:pPr>
        <w:spacing w:after="0" w:line="182" w:lineRule="exact"/>
        <w:rPr>
          <w:sz w:val="20"/>
          <w:szCs w:val="20"/>
          <w:color w:val="auto"/>
        </w:rPr>
      </w:pPr>
    </w:p>
    <w:p>
      <w:pPr>
        <w:ind w:left="580" w:hanging="580"/>
        <w:spacing w:after="0"/>
        <w:tabs>
          <w:tab w:leader="none" w:pos="580" w:val="left"/>
        </w:tabs>
        <w:numPr>
          <w:ilvl w:val="0"/>
          <w:numId w:val="34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APPLICATION OF EARNINGS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4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Payment of Earnings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undertakes with each Creditor Party that, throughout the Security Period:</w:t>
      </w:r>
    </w:p>
    <w:p>
      <w:pPr>
        <w:spacing w:after="0" w:line="181" w:lineRule="exact"/>
        <w:rPr>
          <w:sz w:val="20"/>
          <w:szCs w:val="20"/>
          <w:color w:val="auto"/>
        </w:rPr>
      </w:pPr>
    </w:p>
    <w:p>
      <w:pPr>
        <w:ind w:left="580" w:hanging="580"/>
        <w:spacing w:after="0"/>
        <w:tabs>
          <w:tab w:leader="none" w:pos="580" w:val="left"/>
        </w:tabs>
        <w:numPr>
          <w:ilvl w:val="0"/>
          <w:numId w:val="344"/>
        </w:numPr>
        <w:rPr>
          <w:rFonts w:ascii="Calibri" w:cs="Calibri" w:eastAsia="Calibri" w:hAnsi="Calibri"/>
          <w:sz w:val="18"/>
          <w:szCs w:val="18"/>
          <w:color w:val="auto"/>
        </w:rPr>
      </w:pPr>
      <w:r>
        <w:rPr>
          <w:rFonts w:ascii="Calibri" w:cs="Calibri" w:eastAsia="Calibri" w:hAnsi="Calibri"/>
          <w:sz w:val="18"/>
          <w:szCs w:val="18"/>
          <w:color w:val="auto"/>
        </w:rPr>
        <w:t>it shall, and it shall procure that the Owner will, maintain the Accounts with the Agent;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44"/>
        </w:numPr>
        <w:rPr>
          <w:rFonts w:ascii="Calibri" w:cs="Calibri" w:eastAsia="Calibri" w:hAnsi="Calibri"/>
          <w:sz w:val="18"/>
          <w:szCs w:val="18"/>
          <w:color w:val="auto"/>
        </w:rPr>
      </w:pPr>
      <w:r>
        <w:rPr>
          <w:rFonts w:ascii="Calibri" w:cs="Calibri" w:eastAsia="Calibri" w:hAnsi="Calibri"/>
          <w:sz w:val="18"/>
          <w:szCs w:val="18"/>
          <w:color w:val="auto"/>
        </w:rPr>
        <w:t>it shall procure that the Owner ensures that all Earnings of the Ship are paid (subject only to the provisions of the General Assignment and any Deed of Covenant to which the Owner is a party) to the Earnings Account for the Ship.</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18.2</w:t>
        <w:tab/>
        <w:t>Monthly retentons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undertakes with each Creditor Party to ensure that, on and from the date on which an Event of Default or a Potental Event of Default has occurred and at monthly intervals thereafer during the Security Period whilst such an Event of Default or Potental Event of Default is contnuing, there are transferred to the Retenton Account out of the Earnings received in the Earnings Accounts during the preceding month:</w:t>
      </w:r>
    </w:p>
    <w:p>
      <w:pPr>
        <w:spacing w:after="0" w:line="341" w:lineRule="exact"/>
        <w:rPr>
          <w:sz w:val="20"/>
          <w:szCs w:val="20"/>
          <w:color w:val="auto"/>
        </w:rPr>
      </w:pPr>
    </w:p>
    <w:p>
      <w:pPr>
        <w:ind w:left="580" w:hanging="580"/>
        <w:spacing w:after="0"/>
        <w:tabs>
          <w:tab w:leader="none" w:pos="580" w:val="left"/>
        </w:tabs>
        <w:numPr>
          <w:ilvl w:val="0"/>
          <w:numId w:val="345"/>
        </w:numPr>
        <w:rPr>
          <w:rFonts w:ascii="Calibri" w:cs="Calibri" w:eastAsia="Calibri" w:hAnsi="Calibri"/>
          <w:sz w:val="18"/>
          <w:szCs w:val="18"/>
          <w:color w:val="auto"/>
        </w:rPr>
      </w:pPr>
      <w:r>
        <w:rPr>
          <w:rFonts w:ascii="Calibri" w:cs="Calibri" w:eastAsia="Calibri" w:hAnsi="Calibri"/>
          <w:sz w:val="18"/>
          <w:szCs w:val="18"/>
          <w:color w:val="auto"/>
        </w:rPr>
        <w:t>one-third of the amount of the Instalment falling due under Clause 8.1 on the next Repayment Date;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45"/>
        </w:numPr>
        <w:rPr>
          <w:rFonts w:ascii="Calibri" w:cs="Calibri" w:eastAsia="Calibri" w:hAnsi="Calibri"/>
          <w:sz w:val="18"/>
          <w:szCs w:val="18"/>
          <w:color w:val="auto"/>
        </w:rPr>
      </w:pPr>
      <w:r>
        <w:rPr>
          <w:rFonts w:ascii="Calibri" w:cs="Calibri" w:eastAsia="Calibri" w:hAnsi="Calibri"/>
          <w:sz w:val="18"/>
          <w:szCs w:val="18"/>
          <w:color w:val="auto"/>
        </w:rPr>
        <w:t>the relevant fracton of the aggregate amount of interest on the Loan which is payable on the next due date for payment of interest for the Loan under this Agreement,</w:t>
      </w:r>
    </w:p>
    <w:p>
      <w:pPr>
        <w:spacing w:after="0" w:line="183"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and the Borrower irrevocably authorises the Agent to make those transfers (in its sole discreton and without any obligaton) if the Borrower fails to do so.</w:t>
      </w:r>
    </w:p>
    <w:p>
      <w:pPr>
        <w:spacing w:after="0" w:line="183" w:lineRule="exact"/>
        <w:rPr>
          <w:rFonts w:ascii="Calibri" w:cs="Calibri" w:eastAsia="Calibri" w:hAnsi="Calibri"/>
          <w:sz w:val="18"/>
          <w:szCs w:val="18"/>
          <w:color w:val="auto"/>
        </w:rPr>
      </w:pPr>
    </w:p>
    <w:p>
      <w:pPr>
        <w:jc w:val="both"/>
        <w:ind w:left="600"/>
        <w:spacing w:after="0" w:line="223" w:lineRule="auto"/>
        <w:rPr>
          <w:rFonts w:ascii="Calibri" w:cs="Calibri" w:eastAsia="Calibri" w:hAnsi="Calibri"/>
          <w:sz w:val="18"/>
          <w:szCs w:val="18"/>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relevant fracton</w:t>
      </w:r>
      <w:r>
        <w:rPr>
          <w:rFonts w:ascii="Calibri" w:cs="Calibri" w:eastAsia="Calibri" w:hAnsi="Calibri"/>
          <w:sz w:val="18"/>
          <w:szCs w:val="18"/>
          <w:color w:val="auto"/>
        </w:rPr>
        <w:t>", in relaton to paragraph (b), is a fracton of which the numerator is 1 and the denominator the number of months comprised in the then current Interest Period applicable to the Loan (or if the current Interest Period ends afer the next due date for payment of interest under this Agreement, the number of months from the later of the commencement of the current Interest Period or the last due date for payment of interest to the next due date for payment of interest under this Agreement).</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14" w:name="page215"/>
    <w:bookmarkEnd w:id="214"/>
    <w:p>
      <w:pPr>
        <w:spacing w:after="0"/>
        <w:tabs>
          <w:tab w:leader="none" w:pos="560" w:val="left"/>
        </w:tabs>
        <w:rPr>
          <w:sz w:val="20"/>
          <w:szCs w:val="20"/>
          <w:color w:val="auto"/>
        </w:rPr>
      </w:pPr>
      <w:r>
        <w:rPr>
          <w:rFonts w:ascii="Calibri" w:cs="Calibri" w:eastAsia="Calibri" w:hAnsi="Calibri"/>
          <w:sz w:val="18"/>
          <w:szCs w:val="18"/>
          <w:b w:val="1"/>
          <w:bCs w:val="1"/>
          <w:color w:val="auto"/>
        </w:rPr>
        <w:t>18.3</w:t>
        <w:tab/>
        <w:t>Shortall in Earnings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If the aggregate Earnings received in the Earnings Accounts are insufcient at any tme for the required amount to be transferred to the Retenton Account under Clause 18.2, the Borrower shall immediately pay the amount of the insufciency into the Retenton Account.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18.4</w:t>
        <w:tab/>
        <w:t>Applicaton of retentons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Untl an Event of Default or a Potental Event of Default occurs, the Agent shall, to the extent there are sufcient funds standing to the credit of the Retenton Account, on each Repayment Date and on each due date for the payment of interest in respect of the Loan under this Agreement distribute to the Lenders in accordance with Clause (a) so much of the then balance on the Retenton Account as equals:</w:t>
      </w:r>
    </w:p>
    <w:p>
      <w:pPr>
        <w:spacing w:after="0" w:line="182" w:lineRule="exact"/>
        <w:rPr>
          <w:sz w:val="20"/>
          <w:szCs w:val="20"/>
          <w:color w:val="auto"/>
        </w:rPr>
      </w:pPr>
    </w:p>
    <w:p>
      <w:pPr>
        <w:ind w:left="580" w:hanging="580"/>
        <w:spacing w:after="0"/>
        <w:tabs>
          <w:tab w:leader="none" w:pos="580" w:val="left"/>
        </w:tabs>
        <w:numPr>
          <w:ilvl w:val="0"/>
          <w:numId w:val="346"/>
        </w:numPr>
        <w:rPr>
          <w:rFonts w:ascii="Calibri" w:cs="Calibri" w:eastAsia="Calibri" w:hAnsi="Calibri"/>
          <w:sz w:val="18"/>
          <w:szCs w:val="18"/>
          <w:color w:val="auto"/>
        </w:rPr>
      </w:pPr>
      <w:r>
        <w:rPr>
          <w:rFonts w:ascii="Calibri" w:cs="Calibri" w:eastAsia="Calibri" w:hAnsi="Calibri"/>
          <w:sz w:val="18"/>
          <w:szCs w:val="18"/>
          <w:color w:val="auto"/>
        </w:rPr>
        <w:t>the Instalment due on that Repayment Date pursuant to Clause 8.1; or</w:t>
      </w:r>
    </w:p>
    <w:p>
      <w:pPr>
        <w:spacing w:after="0" w:line="183" w:lineRule="exact"/>
        <w:rPr>
          <w:rFonts w:ascii="Calibri" w:cs="Calibri" w:eastAsia="Calibri" w:hAnsi="Calibri"/>
          <w:sz w:val="18"/>
          <w:szCs w:val="18"/>
          <w:color w:val="auto"/>
        </w:rPr>
      </w:pPr>
    </w:p>
    <w:p>
      <w:pPr>
        <w:ind w:left="600" w:right="4220" w:hanging="600"/>
        <w:spacing w:after="0" w:line="435" w:lineRule="auto"/>
        <w:tabs>
          <w:tab w:leader="none" w:pos="597" w:val="left"/>
        </w:tabs>
        <w:numPr>
          <w:ilvl w:val="0"/>
          <w:numId w:val="346"/>
        </w:numPr>
        <w:rPr>
          <w:rFonts w:ascii="Calibri" w:cs="Calibri" w:eastAsia="Calibri" w:hAnsi="Calibri"/>
          <w:sz w:val="18"/>
          <w:szCs w:val="18"/>
          <w:color w:val="auto"/>
        </w:rPr>
      </w:pPr>
      <w:r>
        <w:rPr>
          <w:rFonts w:ascii="Calibri" w:cs="Calibri" w:eastAsia="Calibri" w:hAnsi="Calibri"/>
          <w:sz w:val="18"/>
          <w:szCs w:val="18"/>
          <w:color w:val="auto"/>
        </w:rPr>
        <w:t>the amount of interest in respect of the Loan payable on that interest payment date, in discharge of the Borrower's liability for that Instalment or that interest.</w:t>
      </w:r>
    </w:p>
    <w:p>
      <w:pPr>
        <w:spacing w:after="0" w:line="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18.5</w:t>
        <w:tab/>
        <w:t>Interest accrued on the Accounts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Any credit balance on each Account shall bear interest at the rate from tme to tme ofered by the Agent to its customers for Dollar deposits of similar amounts and for periods similar to those for which such balances appear to the Agent likely to remain on that Account.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18.6</w:t>
        <w:tab/>
        <w:t>Release of accrued interest</w:t>
      </w:r>
    </w:p>
    <w:p>
      <w:pPr>
        <w:spacing w:after="0" w:line="18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Interest accruing under Clause 18.5 shall be credited to the relevant Account and may be released to the Borrower pursuant to Clause 18.10.</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18.7</w:t>
        <w:tab/>
        <w:t>Locaton of Accounts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promptly:</w:t>
      </w:r>
    </w:p>
    <w:p>
      <w:pPr>
        <w:spacing w:after="0" w:line="183" w:lineRule="exact"/>
        <w:rPr>
          <w:sz w:val="20"/>
          <w:szCs w:val="20"/>
          <w:color w:val="auto"/>
        </w:rPr>
      </w:pPr>
    </w:p>
    <w:p>
      <w:pPr>
        <w:ind w:left="580" w:hanging="580"/>
        <w:spacing w:after="0" w:line="228" w:lineRule="auto"/>
        <w:tabs>
          <w:tab w:leader="none" w:pos="580" w:val="left"/>
        </w:tabs>
        <w:numPr>
          <w:ilvl w:val="0"/>
          <w:numId w:val="347"/>
        </w:numPr>
        <w:rPr>
          <w:rFonts w:ascii="Calibri" w:cs="Calibri" w:eastAsia="Calibri" w:hAnsi="Calibri"/>
          <w:sz w:val="18"/>
          <w:szCs w:val="18"/>
          <w:color w:val="auto"/>
        </w:rPr>
      </w:pPr>
      <w:r>
        <w:rPr>
          <w:rFonts w:ascii="Calibri" w:cs="Calibri" w:eastAsia="Calibri" w:hAnsi="Calibri"/>
          <w:sz w:val="18"/>
          <w:szCs w:val="18"/>
          <w:color w:val="auto"/>
        </w:rPr>
        <w:t>comply or, as the case may be, procure compliance by the Owner, with any requirement of the Agent as to the locaton or re-locaton of the Accounts (or any of them);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47"/>
        </w:numPr>
        <w:rPr>
          <w:rFonts w:ascii="Calibri" w:cs="Calibri" w:eastAsia="Calibri" w:hAnsi="Calibri"/>
          <w:sz w:val="18"/>
          <w:szCs w:val="18"/>
          <w:color w:val="auto"/>
        </w:rPr>
      </w:pPr>
      <w:r>
        <w:rPr>
          <w:rFonts w:ascii="Calibri" w:cs="Calibri" w:eastAsia="Calibri" w:hAnsi="Calibri"/>
          <w:sz w:val="18"/>
          <w:szCs w:val="18"/>
          <w:color w:val="auto"/>
        </w:rPr>
        <w:t>execute or, as the case may be, procure the executon by the Owner of, any documents which the Agent specifes to create or maintain in favour of the Security Trustee a Security Interest over (and/or rights of set-of, consolidaton or other rights in relaton to) the Accounts.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18.8</w:t>
        <w:tab/>
        <w:t>Debits for fees, expenses etc.</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shall be enttled (but not obliged) from tme to tme to debit the Earnings Account without prior notce in order to discharge any amount due and payable under Clauses 20 or 21 to a Creditor Party or payment of which any Creditor Party has become enttled to demand under Clauses 20 or 21.</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18.9</w:t>
        <w:tab/>
        <w:t>Borrower's obligatons unafected</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provisions of this Clause 18 (as distnct from a distributon efected under Clause 18.4) do not afect:</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15" w:name="page216"/>
    <w:bookmarkEnd w:id="215"/>
    <w:p>
      <w:pPr>
        <w:ind w:left="580" w:hanging="580"/>
        <w:spacing w:after="0"/>
        <w:tabs>
          <w:tab w:leader="none" w:pos="580" w:val="left"/>
        </w:tabs>
        <w:numPr>
          <w:ilvl w:val="0"/>
          <w:numId w:val="348"/>
        </w:numPr>
        <w:rPr>
          <w:rFonts w:ascii="Calibri" w:cs="Calibri" w:eastAsia="Calibri" w:hAnsi="Calibri"/>
          <w:sz w:val="18"/>
          <w:szCs w:val="18"/>
          <w:color w:val="auto"/>
        </w:rPr>
      </w:pPr>
      <w:r>
        <w:rPr>
          <w:rFonts w:ascii="Calibri" w:cs="Calibri" w:eastAsia="Calibri" w:hAnsi="Calibri"/>
          <w:sz w:val="18"/>
          <w:szCs w:val="18"/>
          <w:color w:val="auto"/>
        </w:rPr>
        <w:t>the liability of the Borrower to make payments of principal and interest on the due dates;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48"/>
        </w:numPr>
        <w:rPr>
          <w:rFonts w:ascii="Calibri" w:cs="Calibri" w:eastAsia="Calibri" w:hAnsi="Calibri"/>
          <w:sz w:val="18"/>
          <w:szCs w:val="18"/>
          <w:color w:val="auto"/>
        </w:rPr>
      </w:pPr>
      <w:r>
        <w:rPr>
          <w:rFonts w:ascii="Calibri" w:cs="Calibri" w:eastAsia="Calibri" w:hAnsi="Calibri"/>
          <w:sz w:val="18"/>
          <w:szCs w:val="18"/>
          <w:color w:val="auto"/>
        </w:rPr>
        <w:t>any other liability or obligaton of the Borrower or any Security Party or any Approved Manager under any Finance Document.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18.10</w:t>
        <w:tab/>
        <w:t>Restricton on withdrawal</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During the Security Period no sum may be withdrawn by the Borrower from the Retenton Account (other than interest accruing thereon pursuant to Clause 18.6, provided that no Event of Default which is contnuing has occurred), without the prior writen consent of the Agent.</w:t>
      </w:r>
    </w:p>
    <w:p>
      <w:pPr>
        <w:spacing w:after="0" w:line="362"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Owner may, in any calendar month, afer having transferred and/or afer having taken into account all amounts due or which will become due to be transferred to the Retenton Account in such calendar month in accordance with Clause 18.2, withdraw any surplus (a "</w:t>
      </w:r>
      <w:r>
        <w:rPr>
          <w:rFonts w:ascii="Calibri" w:cs="Calibri" w:eastAsia="Calibri" w:hAnsi="Calibri"/>
          <w:sz w:val="18"/>
          <w:szCs w:val="18"/>
          <w:b w:val="1"/>
          <w:bCs w:val="1"/>
          <w:color w:val="auto"/>
        </w:rPr>
        <w:t>Surplus</w:t>
      </w:r>
      <w:r>
        <w:rPr>
          <w:rFonts w:ascii="Calibri" w:cs="Calibri" w:eastAsia="Calibri" w:hAnsi="Calibri"/>
          <w:sz w:val="18"/>
          <w:szCs w:val="18"/>
          <w:color w:val="auto"/>
        </w:rPr>
        <w:t xml:space="preserve">") from its Earnings Account as it may think ft for purposes permited by this Agreement and the other Finance Documents </w:t>
      </w:r>
      <w:r>
        <w:rPr>
          <w:rFonts w:ascii="Calibri" w:cs="Calibri" w:eastAsia="Calibri" w:hAnsi="Calibri"/>
          <w:sz w:val="18"/>
          <w:szCs w:val="18"/>
          <w:b w:val="1"/>
          <w:bCs w:val="1"/>
          <w:color w:val="auto"/>
        </w:rPr>
        <w:t xml:space="preserve">Provided always </w:t>
      </w:r>
      <w:r>
        <w:rPr>
          <w:rFonts w:ascii="Calibri" w:cs="Calibri" w:eastAsia="Calibri" w:hAnsi="Calibri"/>
          <w:sz w:val="18"/>
          <w:szCs w:val="18"/>
          <w:color w:val="auto"/>
        </w:rPr>
        <w:t>that if an Event of Default which is contnuing has occurred, the Borrower shall procure that any Surplus shall remain 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relevant Earnings Account and the Owner may only withdraw the Surplus (or any part thereof) with the prior writen consent of the Agent (actng upon the instructons of the Majority Lenders) in order to satsfy the documented and properly incurred operatng expenses of the Ship.</w:t>
      </w:r>
    </w:p>
    <w:p>
      <w:pPr>
        <w:spacing w:after="0" w:line="283" w:lineRule="exact"/>
        <w:rPr>
          <w:sz w:val="20"/>
          <w:szCs w:val="20"/>
          <w:color w:val="auto"/>
        </w:rPr>
      </w:pPr>
    </w:p>
    <w:p>
      <w:pPr>
        <w:ind w:left="580" w:hanging="580"/>
        <w:spacing w:after="0"/>
        <w:tabs>
          <w:tab w:leader="none" w:pos="580" w:val="left"/>
        </w:tabs>
        <w:numPr>
          <w:ilvl w:val="0"/>
          <w:numId w:val="34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EVENTS OF DEFAULT</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5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Events of Default</w:t>
      </w:r>
    </w:p>
    <w:p>
      <w:pPr>
        <w:spacing w:after="0" w:line="181" w:lineRule="exact"/>
        <w:rPr>
          <w:rFonts w:ascii="Calibri" w:cs="Calibri" w:eastAsia="Calibri" w:hAnsi="Calibri"/>
          <w:sz w:val="18"/>
          <w:szCs w:val="18"/>
          <w:b w:val="1"/>
          <w:bCs w:val="1"/>
          <w:color w:val="auto"/>
        </w:rPr>
      </w:pPr>
    </w:p>
    <w:p>
      <w:pPr>
        <w:ind w:left="600"/>
        <w:spacing w:after="0"/>
        <w:rPr>
          <w:rFonts w:ascii="Calibri" w:cs="Calibri" w:eastAsia="Calibri" w:hAnsi="Calibri"/>
          <w:sz w:val="18"/>
          <w:szCs w:val="18"/>
          <w:b w:val="1"/>
          <w:bCs w:val="1"/>
          <w:color w:val="auto"/>
        </w:rPr>
      </w:pPr>
      <w:r>
        <w:rPr>
          <w:rFonts w:ascii="Calibri" w:cs="Calibri" w:eastAsia="Calibri" w:hAnsi="Calibri"/>
          <w:sz w:val="18"/>
          <w:szCs w:val="18"/>
          <w:color w:val="auto"/>
        </w:rPr>
        <w:t>An Event of Default occurs if:</w:t>
      </w:r>
    </w:p>
    <w:p>
      <w:pPr>
        <w:spacing w:after="0" w:line="183" w:lineRule="exact"/>
        <w:rPr>
          <w:sz w:val="20"/>
          <w:szCs w:val="20"/>
          <w:color w:val="auto"/>
        </w:rPr>
      </w:pPr>
    </w:p>
    <w:p>
      <w:pPr>
        <w:ind w:left="580" w:hanging="580"/>
        <w:spacing w:after="0" w:line="228" w:lineRule="auto"/>
        <w:tabs>
          <w:tab w:leader="none" w:pos="580" w:val="left"/>
        </w:tabs>
        <w:numPr>
          <w:ilvl w:val="0"/>
          <w:numId w:val="351"/>
        </w:numPr>
        <w:rPr>
          <w:rFonts w:ascii="Calibri" w:cs="Calibri" w:eastAsia="Calibri" w:hAnsi="Calibri"/>
          <w:sz w:val="18"/>
          <w:szCs w:val="18"/>
          <w:color w:val="auto"/>
        </w:rPr>
      </w:pPr>
      <w:r>
        <w:rPr>
          <w:rFonts w:ascii="Calibri" w:cs="Calibri" w:eastAsia="Calibri" w:hAnsi="Calibri"/>
          <w:sz w:val="18"/>
          <w:szCs w:val="18"/>
          <w:color w:val="auto"/>
        </w:rPr>
        <w:t>the Borrower, any Security Party or any Approved Manager fails to pay when due or (if so payable) on demand any sum payable under a Finance Document or under any document relatng to a Finance Document unless: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51"/>
        </w:numPr>
        <w:rPr>
          <w:rFonts w:ascii="Calibri" w:cs="Calibri" w:eastAsia="Calibri" w:hAnsi="Calibri"/>
          <w:sz w:val="18"/>
          <w:szCs w:val="18"/>
          <w:color w:val="auto"/>
        </w:rPr>
      </w:pPr>
      <w:r>
        <w:rPr>
          <w:rFonts w:ascii="Calibri" w:cs="Calibri" w:eastAsia="Calibri" w:hAnsi="Calibri"/>
          <w:sz w:val="18"/>
          <w:szCs w:val="18"/>
          <w:color w:val="auto"/>
        </w:rPr>
        <w:t>its failure to pay is caused by:</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351"/>
        </w:numPr>
        <w:rPr>
          <w:rFonts w:ascii="Calibri" w:cs="Calibri" w:eastAsia="Calibri" w:hAnsi="Calibri"/>
          <w:sz w:val="18"/>
          <w:szCs w:val="18"/>
          <w:color w:val="auto"/>
        </w:rPr>
      </w:pPr>
      <w:r>
        <w:rPr>
          <w:rFonts w:ascii="Calibri" w:cs="Calibri" w:eastAsia="Calibri" w:hAnsi="Calibri"/>
          <w:sz w:val="18"/>
          <w:szCs w:val="18"/>
          <w:color w:val="auto"/>
        </w:rPr>
        <w:t>administratve or technical error; or</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351"/>
        </w:numPr>
        <w:rPr>
          <w:rFonts w:ascii="Calibri" w:cs="Calibri" w:eastAsia="Calibri" w:hAnsi="Calibri"/>
          <w:sz w:val="18"/>
          <w:szCs w:val="18"/>
          <w:color w:val="auto"/>
        </w:rPr>
      </w:pPr>
      <w:r>
        <w:rPr>
          <w:rFonts w:ascii="Calibri" w:cs="Calibri" w:eastAsia="Calibri" w:hAnsi="Calibri"/>
          <w:sz w:val="18"/>
          <w:szCs w:val="18"/>
          <w:color w:val="auto"/>
        </w:rPr>
        <w:t>a Disrupton Event;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51"/>
        </w:numPr>
        <w:rPr>
          <w:rFonts w:ascii="Calibri" w:cs="Calibri" w:eastAsia="Calibri" w:hAnsi="Calibri"/>
          <w:sz w:val="18"/>
          <w:szCs w:val="18"/>
          <w:color w:val="auto"/>
        </w:rPr>
      </w:pPr>
      <w:r>
        <w:rPr>
          <w:rFonts w:ascii="Calibri" w:cs="Calibri" w:eastAsia="Calibri" w:hAnsi="Calibri"/>
          <w:sz w:val="18"/>
          <w:szCs w:val="18"/>
          <w:color w:val="auto"/>
        </w:rPr>
        <w:t>payment is made within 3 Business Days of its due date; or</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51"/>
        </w:numPr>
        <w:rPr>
          <w:rFonts w:ascii="Calibri" w:cs="Calibri" w:eastAsia="Calibri" w:hAnsi="Calibri"/>
          <w:sz w:val="18"/>
          <w:szCs w:val="18"/>
          <w:color w:val="auto"/>
        </w:rPr>
      </w:pPr>
      <w:r>
        <w:rPr>
          <w:rFonts w:ascii="Calibri" w:cs="Calibri" w:eastAsia="Calibri" w:hAnsi="Calibri"/>
          <w:sz w:val="18"/>
          <w:szCs w:val="18"/>
          <w:color w:val="auto"/>
        </w:rPr>
        <w:t xml:space="preserve">any breach occurs of Clauses 9.2, 9.3, 11.2, 11.3, 11.20, 11.23, 12.2, 12.3, 12.5 or 15.2 </w:t>
      </w: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xml:space="preserve"> in respect of any breach of Clause 9.2, 9.3, 11.2 or 12.3(a), (c), (d), (f) and (g) which, in the opinion of the Majority Lenders, is capable of remedy, such default contnues unremedied 14 days afer writen notce from the Agent requestng acton to remedy the same (subject to any other applicable grace period specifed in a Finance Document or otherwise agreed by the Agent); or</w:t>
      </w:r>
    </w:p>
    <w:p>
      <w:pPr>
        <w:spacing w:after="0" w:line="185"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51"/>
        </w:numPr>
        <w:rPr>
          <w:rFonts w:ascii="Calibri" w:cs="Calibri" w:eastAsia="Calibri" w:hAnsi="Calibri"/>
          <w:sz w:val="18"/>
          <w:szCs w:val="18"/>
          <w:color w:val="auto"/>
        </w:rPr>
      </w:pPr>
      <w:r>
        <w:rPr>
          <w:rFonts w:ascii="Calibri" w:cs="Calibri" w:eastAsia="Calibri" w:hAnsi="Calibri"/>
          <w:sz w:val="18"/>
          <w:szCs w:val="18"/>
          <w:color w:val="auto"/>
        </w:rPr>
        <w:t>any breach by the Borrower, any Security Party or any Approved Manager occurs of any provision of a Finance Document (other than a breach covered by paragraphs (a) or (b)) which, in the opinion of the Majority Lenders, is capable of remedy, and such default contnues unremedied 14 Business Days afer writen notce from the Agent requestng acton to remedy the same (subject to any other applicable grace period specifed in a Finance Document or otherwise agreed by the Agent); or</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16" w:name="page217"/>
    <w:bookmarkEnd w:id="216"/>
    <w:p>
      <w:pPr>
        <w:ind w:left="580" w:hanging="580"/>
        <w:spacing w:after="0" w:line="228" w:lineRule="auto"/>
        <w:tabs>
          <w:tab w:leader="none" w:pos="580" w:val="left"/>
        </w:tabs>
        <w:numPr>
          <w:ilvl w:val="0"/>
          <w:numId w:val="352"/>
        </w:numPr>
        <w:rPr>
          <w:rFonts w:ascii="Calibri" w:cs="Calibri" w:eastAsia="Calibri" w:hAnsi="Calibri"/>
          <w:sz w:val="18"/>
          <w:szCs w:val="18"/>
          <w:color w:val="auto"/>
        </w:rPr>
      </w:pPr>
      <w:r>
        <w:rPr>
          <w:rFonts w:ascii="Calibri" w:cs="Calibri" w:eastAsia="Calibri" w:hAnsi="Calibri"/>
          <w:sz w:val="18"/>
          <w:szCs w:val="18"/>
          <w:color w:val="auto"/>
        </w:rPr>
        <w:t>(subject to any applicable grace period specifed in the Finance Document) any breach by the Borrower, any Security Party or any Approved Manager occurs of any provision of a Finance Document (other than a breach falling within paragraphs (a), (b) or (c));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52"/>
        </w:numPr>
        <w:rPr>
          <w:rFonts w:ascii="Calibri" w:cs="Calibri" w:eastAsia="Calibri" w:hAnsi="Calibri"/>
          <w:sz w:val="18"/>
          <w:szCs w:val="18"/>
          <w:color w:val="auto"/>
        </w:rPr>
      </w:pPr>
      <w:r>
        <w:rPr>
          <w:rFonts w:ascii="Calibri" w:cs="Calibri" w:eastAsia="Calibri" w:hAnsi="Calibri"/>
          <w:sz w:val="18"/>
          <w:szCs w:val="18"/>
          <w:color w:val="auto"/>
        </w:rPr>
        <w:t>any representaton, warranty or statement made or repeated by, or by an ofcer of, the Borrower, a Security Party or any Approved Manager in a Finance Document or in the Drawdown Notce or any other notce or document relatng to a Finance Document is untrue or misleading when it is made or repeated;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52"/>
        </w:numPr>
        <w:rPr>
          <w:rFonts w:ascii="Calibri" w:cs="Calibri" w:eastAsia="Calibri" w:hAnsi="Calibri"/>
          <w:sz w:val="18"/>
          <w:szCs w:val="18"/>
          <w:color w:val="auto"/>
        </w:rPr>
      </w:pPr>
      <w:r>
        <w:rPr>
          <w:rFonts w:ascii="Calibri" w:cs="Calibri" w:eastAsia="Calibri" w:hAnsi="Calibri"/>
          <w:sz w:val="18"/>
          <w:szCs w:val="18"/>
          <w:color w:val="auto"/>
        </w:rPr>
        <w:t>any of the following occurs in relaton to any Financial Indebtedness of a Relevant Person, which in the case of any member of the Group, equals $25,000,000 (or the equivalent in any other currency) or more or, as regards Financial Indebtedness arising under diferent documents or transactons, an aggregate amount of $25,000,000 (or the equivalent in any other currency) or more:</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Financial Indebtedness of a Relevant Person is not paid when due or, if so payable, on demand;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Financial Indebtedness of a Relevant Person becomes due and payable or capable of being declared due and payable prior to its stated maturity date as a consequence of any event of default;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 lease, hire purchase agreement or charter creatng any Financial Indebtedness of a Relevant Person is terminated by the lessor or owner or becomes capable of being terminated as a consequence of any terminaton event; or</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overdraf, loan, note issuance, acceptance credit, leter of credit, guarantee, foreign exchange or other facility, or any swap or other derivatve contract or transacton, relatng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Security Interest securing any Financial Indebtedness of a Relevant Person becomes enforceable;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52"/>
        </w:numPr>
        <w:rPr>
          <w:rFonts w:ascii="Calibri" w:cs="Calibri" w:eastAsia="Calibri" w:hAnsi="Calibri"/>
          <w:sz w:val="18"/>
          <w:szCs w:val="18"/>
          <w:color w:val="auto"/>
        </w:rPr>
      </w:pPr>
      <w:r>
        <w:rPr>
          <w:rFonts w:ascii="Calibri" w:cs="Calibri" w:eastAsia="Calibri" w:hAnsi="Calibri"/>
          <w:sz w:val="18"/>
          <w:szCs w:val="18"/>
          <w:color w:val="auto"/>
        </w:rPr>
        <w:t>any of the following occurs in relaton to a Relevant Person: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 Relevant Person becomes, in the opinion of the Majority Lenders, unable to pay its debts as they fall due; or</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assets of a Relevant Person are subject to any form of executon, atachment, arrest, sequestraton or distress or any form of freezing order, which in the case of the Borrower relate to a sum of, or sums aggregatng, $20,000,000 (or the equivalent in any other currency) or more unless such executon, atachment, arrest, sequestraton or distress is dismissed, withdrawn, released or lifed within 10 Business Days of the occurrence of such event; or</w:t>
      </w:r>
    </w:p>
    <w:p>
      <w:pPr>
        <w:spacing w:after="0" w:line="183" w:lineRule="exact"/>
        <w:rPr>
          <w:rFonts w:ascii="Calibri" w:cs="Calibri" w:eastAsia="Calibri" w:hAnsi="Calibri"/>
          <w:sz w:val="18"/>
          <w:szCs w:val="18"/>
          <w:color w:val="auto"/>
        </w:rPr>
      </w:pPr>
    </w:p>
    <w:p>
      <w:pPr>
        <w:ind w:left="1180" w:hanging="591"/>
        <w:spacing w:after="0"/>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any administratve or other receiver is appointed over any asset of a Relevant Person;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52"/>
        </w:numPr>
        <w:rPr>
          <w:rFonts w:ascii="Calibri" w:cs="Calibri" w:eastAsia="Calibri" w:hAnsi="Calibri"/>
          <w:sz w:val="18"/>
          <w:szCs w:val="18"/>
          <w:color w:val="auto"/>
        </w:rPr>
      </w:pPr>
      <w:r>
        <w:rPr>
          <w:rFonts w:ascii="Calibri" w:cs="Calibri" w:eastAsia="Calibri" w:hAnsi="Calibri"/>
          <w:sz w:val="18"/>
          <w:szCs w:val="18"/>
          <w:color w:val="auto"/>
        </w:rPr>
        <w:t>an administrator is appointed (whether by the court or otherwise) in respect of a Relevant Person; or</w:t>
      </w:r>
    </w:p>
    <w:p>
      <w:pPr>
        <w:spacing w:after="0" w:line="182" w:lineRule="exact"/>
        <w:rPr>
          <w:sz w:val="20"/>
          <w:szCs w:val="20"/>
          <w:color w:val="auto"/>
        </w:rPr>
      </w:pPr>
    </w:p>
    <w:p>
      <w:pPr>
        <w:jc w:val="both"/>
        <w:ind w:left="5540"/>
        <w:spacing w:after="0"/>
        <w:tabs>
          <w:tab w:leader="none" w:pos="9919"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217" w:name="page218"/>
    <w:bookmarkEnd w:id="217"/>
    <w:p>
      <w:pPr>
        <w:jc w:val="both"/>
        <w:ind w:left="591" w:hanging="591"/>
        <w:spacing w:after="0" w:line="225" w:lineRule="auto"/>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any formal declaraton of bankruptcy or any formal statement to the efect that a Relevant Person is insolvent or likely to become insolvent is made by a Relevant Person or by the directors of a Relevant Person or, in any proceedings, by a lawyer actng for a Relevant Person; or</w:t>
      </w:r>
    </w:p>
    <w:p>
      <w:pPr>
        <w:spacing w:after="0" w:line="183" w:lineRule="exact"/>
        <w:rPr>
          <w:rFonts w:ascii="Calibri" w:cs="Calibri" w:eastAsia="Calibri" w:hAnsi="Calibri"/>
          <w:sz w:val="18"/>
          <w:szCs w:val="18"/>
          <w:color w:val="auto"/>
        </w:rPr>
      </w:pPr>
    </w:p>
    <w:p>
      <w:pPr>
        <w:ind w:left="591" w:hanging="591"/>
        <w:spacing w:after="0" w:line="228" w:lineRule="auto"/>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 provisional liquidator is appointed in respect of a Relevant Person, a winding up order is made in relaton to a Relevant Person or a winding up resoluton is passed by a Relevant Person; or</w:t>
      </w:r>
    </w:p>
    <w:p>
      <w:pPr>
        <w:spacing w:after="0" w:line="183" w:lineRule="exact"/>
        <w:rPr>
          <w:rFonts w:ascii="Calibri" w:cs="Calibri" w:eastAsia="Calibri" w:hAnsi="Calibri"/>
          <w:sz w:val="18"/>
          <w:szCs w:val="18"/>
          <w:color w:val="auto"/>
        </w:rPr>
      </w:pPr>
    </w:p>
    <w:p>
      <w:pPr>
        <w:jc w:val="both"/>
        <w:ind w:left="591" w:hanging="591"/>
        <w:spacing w:after="0"/>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 resoluton is passed, an administraton notce is given or fled, an applicaton or petton to a court is made or presented or any other step is taken by (aa) a Relevant Person, (bb) the members or directors of a Relevant Person, (cc) a holder of Security Interests which together relate to all or substantally all of the assets of a Relevant Person, or (dd) a government minister or public or regulatory authority of a Pertnent Jurisdicton for or with a view to the winding up of that or another Relevant Person or the appointment of a provisional liquidator or administrator in respect of that or another Relevant Person, or that or another Relevant Person ceasing or suspending business operatons or payments to creditors, save that this paragraph does not apply to a fully solvent winding up of a Relevant Person other than the Borrower or the Owner which is, or is to be, efected for the purposes of an amalgamaton or reconstructon previously approved by the Majority Lenders and efected not later than three months afer the commencement of the winding up; or</w:t>
      </w:r>
    </w:p>
    <w:p>
      <w:pPr>
        <w:spacing w:after="0" w:line="246" w:lineRule="exact"/>
        <w:rPr>
          <w:rFonts w:ascii="Calibri" w:cs="Calibri" w:eastAsia="Calibri" w:hAnsi="Calibri"/>
          <w:sz w:val="18"/>
          <w:szCs w:val="18"/>
          <w:color w:val="auto"/>
        </w:rPr>
      </w:pPr>
    </w:p>
    <w:p>
      <w:pPr>
        <w:jc w:val="both"/>
        <w:ind w:left="591" w:hanging="591"/>
        <w:spacing w:after="0"/>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an administraton notce is given or fled, an applicaton or petton to a court is made or presented or any other step is taken by a creditor of a Relevant Person (other than a holder of Security Interests which together relate to all or substantally all of the assets of a Relevant Person) for the winding up of a Relevant Person or the appointment of a provisional liquidator or administrator in respect of a Relevant Person in any Pertnent Jurisdicton, unless the proposed winding up, appointment of a provisional liquidator or administraton is being contested in good faith, on substantal grounds and not with a view to some other insolvency law procedure being implemented instead and either (aa) the applicaton or petton is dismissed or withdrawn within 30 days of being made or presented, or (bb) within 30 days of the administraton notce being given or fled, or the other relevant steps being taken, other acton is taken which will ensure that there will be no administraton and (in both cases (aa) or (bb)) the Relevant Person will contnue to carry on business in the ordinary way and without being the subject of any actual, interim or pending insolvency law procedure; or</w:t>
      </w:r>
    </w:p>
    <w:p>
      <w:pPr>
        <w:spacing w:after="0" w:line="226" w:lineRule="exact"/>
        <w:rPr>
          <w:rFonts w:ascii="Calibri" w:cs="Calibri" w:eastAsia="Calibri" w:hAnsi="Calibri"/>
          <w:sz w:val="18"/>
          <w:szCs w:val="18"/>
          <w:color w:val="auto"/>
        </w:rPr>
      </w:pPr>
    </w:p>
    <w:p>
      <w:pPr>
        <w:jc w:val="both"/>
        <w:ind w:left="591" w:hanging="591"/>
        <w:spacing w:after="0" w:line="222" w:lineRule="auto"/>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 Relevant Person or its directors take any steps (whether by making or presentng an applicaton or petton to a court, or submitng or presentng a document setng out a proposal or proposed terms, or otherwise) with a view to obtaining, in relaton to that or another Relevant Person, any form of moratorium, suspension or deferral of payments, reorganisaton of debt (or certain debt) or arrangement with all or a substantal proporton (by number or value) of creditors or of any class of them or any such moratorium, suspension or deferral of payments, reorganisaton or arrangement is efected by court order, by the fling of documents with a court, by means of a contract or in any other way at all; or</w:t>
      </w:r>
    </w:p>
    <w:p>
      <w:pPr>
        <w:spacing w:after="0" w:line="183" w:lineRule="exact"/>
        <w:rPr>
          <w:rFonts w:ascii="Calibri" w:cs="Calibri" w:eastAsia="Calibri" w:hAnsi="Calibri"/>
          <w:sz w:val="18"/>
          <w:szCs w:val="18"/>
          <w:color w:val="auto"/>
        </w:rPr>
      </w:pPr>
    </w:p>
    <w:p>
      <w:pPr>
        <w:ind w:left="591" w:hanging="591"/>
        <w:spacing w:after="0" w:line="228" w:lineRule="auto"/>
        <w:tabs>
          <w:tab w:leader="none" w:pos="591" w:val="left"/>
        </w:tabs>
        <w:numPr>
          <w:ilvl w:val="0"/>
          <w:numId w:val="353"/>
        </w:numPr>
        <w:rPr>
          <w:rFonts w:ascii="Calibri" w:cs="Calibri" w:eastAsia="Calibri" w:hAnsi="Calibri"/>
          <w:sz w:val="18"/>
          <w:szCs w:val="18"/>
          <w:color w:val="auto"/>
        </w:rPr>
      </w:pPr>
      <w:r>
        <w:rPr>
          <w:rFonts w:ascii="Calibri" w:cs="Calibri" w:eastAsia="Calibri" w:hAnsi="Calibri"/>
          <w:sz w:val="18"/>
          <w:szCs w:val="18"/>
          <w:color w:val="auto"/>
        </w:rPr>
        <w:t>any meetng of the members or directors, or of any commitee of the board or senior management, of a Relevant Person is held or summoned for the purpose of considering a resoluton or proposal to authorise or take any acton of a type described</w:t>
      </w:r>
    </w:p>
    <w:p>
      <w:pPr>
        <w:spacing w:after="0" w:line="183" w:lineRule="exact"/>
        <w:rPr>
          <w:sz w:val="20"/>
          <w:szCs w:val="20"/>
          <w:color w:val="auto"/>
        </w:rPr>
      </w:pPr>
    </w:p>
    <w:p>
      <w:pPr>
        <w:jc w:val="both"/>
        <w:ind w:left="4951"/>
        <w:spacing w:after="0"/>
        <w:tabs>
          <w:tab w:leader="none" w:pos="9331"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51"/>
          </w:cols>
          <w:pgMar w:left="909" w:top="429" w:right="339" w:bottom="1440" w:gutter="0" w:footer="0" w:header="0"/>
        </w:sectPr>
      </w:pPr>
    </w:p>
    <w:bookmarkStart w:id="218" w:name="page219"/>
    <w:bookmarkEnd w:id="218"/>
    <w:p>
      <w:pPr>
        <w:jc w:val="both"/>
        <w:ind w:left="1180"/>
        <w:spacing w:after="0" w:line="225" w:lineRule="auto"/>
        <w:rPr>
          <w:sz w:val="20"/>
          <w:szCs w:val="20"/>
          <w:color w:val="auto"/>
        </w:rPr>
      </w:pPr>
      <w:r>
        <w:rPr>
          <w:rFonts w:ascii="Calibri" w:cs="Calibri" w:eastAsia="Calibri" w:hAnsi="Calibri"/>
          <w:sz w:val="18"/>
          <w:szCs w:val="18"/>
          <w:color w:val="auto"/>
        </w:rPr>
        <w:t>in paragraphs (iv) to (ix) or a step preparatory to such acton, or (with or without such a meetng) the members, directors or such a commitee resolve or agree that such an acton or step should be taken or should be taken if certain conditons materialise or fail to materialise; or</w:t>
      </w:r>
    </w:p>
    <w:p>
      <w:pPr>
        <w:spacing w:after="0" w:line="184" w:lineRule="exact"/>
        <w:rPr>
          <w:sz w:val="20"/>
          <w:szCs w:val="20"/>
          <w:color w:val="auto"/>
        </w:rPr>
      </w:pPr>
    </w:p>
    <w:p>
      <w:pPr>
        <w:ind w:left="1180" w:hanging="591"/>
        <w:spacing w:after="0" w:line="228" w:lineRule="auto"/>
        <w:tabs>
          <w:tab w:leader="none" w:pos="1180" w:val="left"/>
        </w:tabs>
        <w:numPr>
          <w:ilvl w:val="1"/>
          <w:numId w:val="354"/>
        </w:numPr>
        <w:rPr>
          <w:rFonts w:ascii="Calibri" w:cs="Calibri" w:eastAsia="Calibri" w:hAnsi="Calibri"/>
          <w:sz w:val="18"/>
          <w:szCs w:val="18"/>
          <w:color w:val="auto"/>
        </w:rPr>
      </w:pPr>
      <w:r>
        <w:rPr>
          <w:rFonts w:ascii="Calibri" w:cs="Calibri" w:eastAsia="Calibri" w:hAnsi="Calibri"/>
          <w:sz w:val="18"/>
          <w:szCs w:val="18"/>
          <w:color w:val="auto"/>
        </w:rPr>
        <w:t>in a country other than England, any event occurs, any proceedings are opened or commenced or any step is taken which, in the opinion of the Majority Lenders is similar to any of the foregoing;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the Borrower or the Owner or any other Security Party ceases or suspends carrying on its business or a part of its business which, in the opinion of the Majority Lenders, is material in the context of this Agreement;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it becomes unlawful in any Pertnent Jurisdicton or impossible:</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5"/>
        </w:numPr>
        <w:rPr>
          <w:rFonts w:ascii="Calibri" w:cs="Calibri" w:eastAsia="Calibri" w:hAnsi="Calibri"/>
          <w:sz w:val="18"/>
          <w:szCs w:val="18"/>
          <w:color w:val="auto"/>
        </w:rPr>
      </w:pPr>
      <w:r>
        <w:rPr>
          <w:rFonts w:ascii="Calibri" w:cs="Calibri" w:eastAsia="Calibri" w:hAnsi="Calibri"/>
          <w:sz w:val="18"/>
          <w:szCs w:val="18"/>
          <w:color w:val="auto"/>
        </w:rPr>
        <w:t>for the Borrower, the Owner, any other Security Party or any Approved Manager to discharge any liability under a Finance Document or to comply with any other obligaton which the Majority Lenders consider material under a Finance Document;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5"/>
        </w:numPr>
        <w:rPr>
          <w:rFonts w:ascii="Calibri" w:cs="Calibri" w:eastAsia="Calibri" w:hAnsi="Calibri"/>
          <w:sz w:val="18"/>
          <w:szCs w:val="18"/>
          <w:color w:val="auto"/>
        </w:rPr>
      </w:pPr>
      <w:r>
        <w:rPr>
          <w:rFonts w:ascii="Calibri" w:cs="Calibri" w:eastAsia="Calibri" w:hAnsi="Calibri"/>
          <w:sz w:val="18"/>
          <w:szCs w:val="18"/>
          <w:color w:val="auto"/>
        </w:rPr>
        <w:t>for the Agent, the Security Trustee or the Lenders to exercise or enforce any right under, or to enforce any Security Interest created by, a Finance Document; or</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any ofcial consent necessary to enable the Owner to own, operate or charter its Ship or to enable the Borrower, any Security Party or any Approved Manager to comply with any provision which the Majority Lenders consider material of a Finance Document or any Underlying Document is not granted, expires without being renewed, is revoked or becomes liable to revocaton or any conditon of such a consent is not fulflled; or</w:t>
      </w:r>
    </w:p>
    <w:p>
      <w:pPr>
        <w:spacing w:after="0" w:line="185"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if the common units of the Borrower cease to be quoted on the Nasdaq Natonal Market in New York or any other internatonally recognised stock exchange acceptable to the Lenders and this was an unplanned event which was not notfed to the Agent frst or if the whole of the issued share capital of the Ship is not wholly-owned by the Borrower;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it evidently appears to the Majority Lenders that, without their prior consent, a Change of Control has occurred;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any provision which the Majority Lenders consider material of a Finance Document proves to have been or becomes invalid or unenforceable, or a Security Interest created by a Finance Document proves to have been or becomes invalid or unenforceable or such a Security Interest proves to have ranked afer, or loses its priority to, another Security Interest or any other third party claim or interest;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the security consttuted by a Finance Document is in any way imperilled or in jeopardy; or</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the Borrower, any other Security Party or any Approved Manager or any other person (other than a Creditor Party) repudiates any of the Finance Documents to which the Borrower, that Security Party or Approved Manager or person is a party or evidences an intenton to do so; or</w:t>
      </w:r>
    </w:p>
    <w:p>
      <w:pPr>
        <w:spacing w:after="0" w:line="360" w:lineRule="exact"/>
        <w:rPr>
          <w:rFonts w:ascii="Calibri" w:cs="Calibri" w:eastAsia="Calibri" w:hAnsi="Calibri"/>
          <w:sz w:val="18"/>
          <w:szCs w:val="18"/>
          <w:color w:val="auto"/>
        </w:rPr>
      </w:pPr>
    </w:p>
    <w:p>
      <w:pPr>
        <w:ind w:left="580" w:hanging="580"/>
        <w:spacing w:after="0"/>
        <w:tabs>
          <w:tab w:leader="none" w:pos="580" w:val="left"/>
        </w:tabs>
        <w:numPr>
          <w:ilvl w:val="0"/>
          <w:numId w:val="355"/>
        </w:numPr>
        <w:rPr>
          <w:rFonts w:ascii="Calibri" w:cs="Calibri" w:eastAsia="Calibri" w:hAnsi="Calibri"/>
          <w:sz w:val="18"/>
          <w:szCs w:val="18"/>
          <w:color w:val="auto"/>
        </w:rPr>
      </w:pPr>
      <w:r>
        <w:rPr>
          <w:rFonts w:ascii="Calibri" w:cs="Calibri" w:eastAsia="Calibri" w:hAnsi="Calibri"/>
          <w:sz w:val="18"/>
          <w:szCs w:val="18"/>
          <w:color w:val="auto"/>
        </w:rPr>
        <w:t>any other event occurs or any other circumstances arise or develop including, without limitaton:</w:t>
      </w:r>
    </w:p>
    <w:p>
      <w:pPr>
        <w:spacing w:after="0" w:line="182" w:lineRule="exact"/>
        <w:rPr>
          <w:sz w:val="20"/>
          <w:szCs w:val="20"/>
          <w:color w:val="auto"/>
        </w:rPr>
      </w:pPr>
    </w:p>
    <w:p>
      <w:pPr>
        <w:jc w:val="both"/>
        <w:ind w:left="5540"/>
        <w:spacing w:after="0"/>
        <w:tabs>
          <w:tab w:leader="none" w:pos="9919"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219" w:name="page220"/>
    <w:bookmarkEnd w:id="219"/>
    <w:p>
      <w:pPr>
        <w:ind w:left="1180" w:hanging="591"/>
        <w:spacing w:after="0"/>
        <w:tabs>
          <w:tab w:leader="none" w:pos="1180" w:val="left"/>
        </w:tabs>
        <w:numPr>
          <w:ilvl w:val="0"/>
          <w:numId w:val="356"/>
        </w:numPr>
        <w:rPr>
          <w:rFonts w:ascii="Calibri" w:cs="Calibri" w:eastAsia="Calibri" w:hAnsi="Calibri"/>
          <w:sz w:val="18"/>
          <w:szCs w:val="18"/>
          <w:color w:val="auto"/>
        </w:rPr>
      </w:pPr>
      <w:r>
        <w:rPr>
          <w:rFonts w:ascii="Calibri" w:cs="Calibri" w:eastAsia="Calibri" w:hAnsi="Calibri"/>
          <w:sz w:val="18"/>
          <w:szCs w:val="18"/>
          <w:color w:val="auto"/>
        </w:rPr>
        <w:t>a change in the fnancial positon, state of afairs or prospects of the Borrower, the Owner or any other Security Party;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0"/>
          <w:numId w:val="356"/>
        </w:numPr>
        <w:rPr>
          <w:rFonts w:ascii="Calibri" w:cs="Calibri" w:eastAsia="Calibri" w:hAnsi="Calibri"/>
          <w:sz w:val="18"/>
          <w:szCs w:val="18"/>
          <w:color w:val="auto"/>
        </w:rPr>
      </w:pPr>
      <w:r>
        <w:rPr>
          <w:rFonts w:ascii="Calibri" w:cs="Calibri" w:eastAsia="Calibri" w:hAnsi="Calibri"/>
          <w:sz w:val="18"/>
          <w:szCs w:val="18"/>
          <w:color w:val="auto"/>
        </w:rPr>
        <w:t>any accident or other event involving any Ship or another vessel owned, chartered or operated by a Relevant Person;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0"/>
          <w:numId w:val="356"/>
        </w:numPr>
        <w:rPr>
          <w:rFonts w:ascii="Calibri" w:cs="Calibri" w:eastAsia="Calibri" w:hAnsi="Calibri"/>
          <w:sz w:val="18"/>
          <w:szCs w:val="18"/>
          <w:color w:val="auto"/>
        </w:rPr>
      </w:pPr>
      <w:r>
        <w:rPr>
          <w:rFonts w:ascii="Calibri" w:cs="Calibri" w:eastAsia="Calibri" w:hAnsi="Calibri"/>
          <w:sz w:val="18"/>
          <w:szCs w:val="18"/>
          <w:color w:val="auto"/>
        </w:rPr>
        <w:t>the threat or commencement of legal or administratve acton involving the Borrower, a Ship, any Approved Manager (but in relaton to an Approved Manager which is not member of the Group, only insofar it relates to a Ship) or any Security Party; or</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0"/>
          <w:numId w:val="356"/>
        </w:numPr>
        <w:rPr>
          <w:rFonts w:ascii="Calibri" w:cs="Calibri" w:eastAsia="Calibri" w:hAnsi="Calibri"/>
          <w:sz w:val="18"/>
          <w:szCs w:val="18"/>
          <w:color w:val="auto"/>
        </w:rPr>
      </w:pPr>
      <w:r>
        <w:rPr>
          <w:rFonts w:ascii="Calibri" w:cs="Calibri" w:eastAsia="Calibri" w:hAnsi="Calibri"/>
          <w:sz w:val="18"/>
          <w:szCs w:val="18"/>
          <w:color w:val="auto"/>
        </w:rPr>
        <w:t>the withdrawal of any material license or governmental or regulatory approval in respect of the Ship, the Borrower, the Owner, any other Security Party or any Approved Manager or the Borrower's or any Security Party's business (unless such withdrawal can be contested with the efect of suspension and is in fact so contested in good faith by the Borrower, that Security Party or that Approved Manager or solely in relaton to the Approved Manager, a new Approved Manager is appointed),</w:t>
      </w:r>
    </w:p>
    <w:p>
      <w:pPr>
        <w:spacing w:after="0" w:line="18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which consttutes a Material Adverse Change.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19.2</w:t>
        <w:tab/>
        <w:t>Actons following an Event of Default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On, or at any tme afer, the occurrence of an Event of Default:</w:t>
      </w:r>
    </w:p>
    <w:p>
      <w:pPr>
        <w:spacing w:after="0" w:line="181" w:lineRule="exact"/>
        <w:rPr>
          <w:sz w:val="20"/>
          <w:szCs w:val="20"/>
          <w:color w:val="auto"/>
        </w:rPr>
      </w:pPr>
    </w:p>
    <w:p>
      <w:pPr>
        <w:ind w:left="580" w:hanging="580"/>
        <w:spacing w:after="0"/>
        <w:tabs>
          <w:tab w:leader="none" w:pos="580" w:val="left"/>
        </w:tabs>
        <w:numPr>
          <w:ilvl w:val="0"/>
          <w:numId w:val="357"/>
        </w:numPr>
        <w:rPr>
          <w:rFonts w:ascii="Calibri" w:cs="Calibri" w:eastAsia="Calibri" w:hAnsi="Calibri"/>
          <w:sz w:val="18"/>
          <w:szCs w:val="18"/>
          <w:color w:val="auto"/>
        </w:rPr>
      </w:pPr>
      <w:r>
        <w:rPr>
          <w:rFonts w:ascii="Calibri" w:cs="Calibri" w:eastAsia="Calibri" w:hAnsi="Calibri"/>
          <w:sz w:val="18"/>
          <w:szCs w:val="18"/>
          <w:color w:val="auto"/>
        </w:rPr>
        <w:t>the Agent may, and if so instructed by the Majority Lenders, the Agent shall:</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7"/>
        </w:numPr>
        <w:rPr>
          <w:rFonts w:ascii="Calibri" w:cs="Calibri" w:eastAsia="Calibri" w:hAnsi="Calibri"/>
          <w:sz w:val="18"/>
          <w:szCs w:val="18"/>
          <w:color w:val="auto"/>
        </w:rPr>
      </w:pPr>
      <w:r>
        <w:rPr>
          <w:rFonts w:ascii="Calibri" w:cs="Calibri" w:eastAsia="Calibri" w:hAnsi="Calibri"/>
          <w:sz w:val="18"/>
          <w:szCs w:val="18"/>
          <w:color w:val="auto"/>
        </w:rPr>
        <w:t>serve on the Borrower a notce statng that all or part of the Commitments and of the other obligatons of each Lender to the Borrower under this Agreement are cancelled; and/or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7"/>
        </w:numPr>
        <w:rPr>
          <w:rFonts w:ascii="Calibri" w:cs="Calibri" w:eastAsia="Calibri" w:hAnsi="Calibri"/>
          <w:sz w:val="18"/>
          <w:szCs w:val="18"/>
          <w:color w:val="auto"/>
        </w:rPr>
      </w:pPr>
      <w:r>
        <w:rPr>
          <w:rFonts w:ascii="Calibri" w:cs="Calibri" w:eastAsia="Calibri" w:hAnsi="Calibri"/>
          <w:sz w:val="18"/>
          <w:szCs w:val="18"/>
          <w:color w:val="auto"/>
        </w:rPr>
        <w:t>serve on the Borrower a notce statng that all or part of the Loan together with accrued interest and all other amounts accrued or owing under this Agreement are immediately due and payable or are due and payable on demand; and/or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57"/>
        </w:numPr>
        <w:rPr>
          <w:rFonts w:ascii="Calibri" w:cs="Calibri" w:eastAsia="Calibri" w:hAnsi="Calibri"/>
          <w:sz w:val="18"/>
          <w:szCs w:val="18"/>
          <w:color w:val="auto"/>
        </w:rPr>
      </w:pPr>
      <w:r>
        <w:rPr>
          <w:rFonts w:ascii="Calibri" w:cs="Calibri" w:eastAsia="Calibri" w:hAnsi="Calibri"/>
          <w:sz w:val="18"/>
          <w:szCs w:val="18"/>
          <w:color w:val="auto"/>
        </w:rPr>
        <w:t>take any other acton which, as a result of the Event of Default or any notce served under paragraph (i) or (ii), the Agent and/or the Lenders are enttled to take under any Finance Document or any applicable law; and/or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57"/>
        </w:numPr>
        <w:rPr>
          <w:rFonts w:ascii="Calibri" w:cs="Calibri" w:eastAsia="Calibri" w:hAnsi="Calibri"/>
          <w:sz w:val="18"/>
          <w:szCs w:val="18"/>
          <w:color w:val="auto"/>
        </w:rPr>
      </w:pPr>
      <w:r>
        <w:rPr>
          <w:rFonts w:ascii="Calibri" w:cs="Calibri" w:eastAsia="Calibri" w:hAnsi="Calibri"/>
          <w:sz w:val="18"/>
          <w:szCs w:val="18"/>
          <w:color w:val="auto"/>
        </w:rPr>
        <w:t>the Security Trustee may, and if so instructed by the Agent, actng with the authorisaton of the Majority Lenders, the Security Trustee shall take any acton which, as a result of the Event of Default or any notce served under paragraph (a)(i) or (a)(ii), the Security Trustee, the Agent, the Mandated Lead Arranger and/or the Lenders are enttled to take under any Finance Document or any applicable law.</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19.3</w:t>
        <w:tab/>
        <w:t>Terminaton of Commitments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On the service of a notce under Clause 19.2(a)(i), the Commitments and all other obligatons of each Lender to the Borrower under this Agreement shall be cancelled.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19.4</w:t>
        <w:tab/>
        <w:t>Acceleraton of Loan</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On the service of a notce under Clause 19.2(a)(ii), all or, as the case may be, the part of the Loan specifed in the notce together with accrued interest and all other amounts accrued or owing from the Borrower or any Security Party or any Approved Manager under this</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20" w:name="page221"/>
    <w:bookmarkEnd w:id="220"/>
    <w:p>
      <w:pPr>
        <w:ind w:left="600"/>
        <w:spacing w:after="0"/>
        <w:rPr>
          <w:sz w:val="20"/>
          <w:szCs w:val="20"/>
          <w:color w:val="auto"/>
        </w:rPr>
      </w:pPr>
      <w:r>
        <w:rPr>
          <w:rFonts w:ascii="Calibri" w:cs="Calibri" w:eastAsia="Calibri" w:hAnsi="Calibri"/>
          <w:sz w:val="18"/>
          <w:szCs w:val="18"/>
          <w:color w:val="auto"/>
        </w:rPr>
        <w:t>Agreement and every other Finance Document shall become immediately due and payable or, as the case may be, payable on demand.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19.5</w:t>
        <w:tab/>
        <w:t>Multple notces; acton without notce</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Agent may serve notces under Clauses 19.2(a)(i) or 19.2(a)(ii) simultaneously or on diferent dates and it and/or the Security Trustee may take any acton referred to in Clause 19.2 if no such notce is served or simultaneously with or at any tme afer the service of both or either of such notces.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19.6</w:t>
        <w:tab/>
        <w:t>Notfcaton of Creditor Partes and Security Partes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Agent shall send to each Lender, the Security Trustee, each Security Party and any Approved Manager a copy or the text of any notce which the Agent serves on the Borrower under Clause 19.2; but the notce shall become efectve when it is served on the Borrower, and no failure or delay by the Agent to send a copy or the text of the notce to any other person shall invalidate the notce or provide the Borrower, any Security Party or any Approved Manager with any form of claim or defence.</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19.7</w:t>
        <w:tab/>
        <w:t>Creditor Party's rights unimpaired</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Nothing in this Clause shall be taken to impair or restrict the exercise of any right given to individual Lenders under a Finance Document or the general law; and, in partcular, this Clause is without prejudice to Clause 3.1.</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19.8</w:t>
        <w:tab/>
        <w:t>Exclusion of Creditor Party liability</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No Creditor Party, and no receiver or manager appointed by the Security Trustee, shall have any liability to the Borrower or a Security Party:</w:t>
      </w:r>
    </w:p>
    <w:p>
      <w:pPr>
        <w:spacing w:after="0" w:line="183" w:lineRule="exact"/>
        <w:rPr>
          <w:sz w:val="20"/>
          <w:szCs w:val="20"/>
          <w:color w:val="auto"/>
        </w:rPr>
      </w:pPr>
    </w:p>
    <w:p>
      <w:pPr>
        <w:ind w:left="580" w:hanging="580"/>
        <w:spacing w:after="0" w:line="228" w:lineRule="auto"/>
        <w:tabs>
          <w:tab w:leader="none" w:pos="580" w:val="left"/>
        </w:tabs>
        <w:numPr>
          <w:ilvl w:val="0"/>
          <w:numId w:val="358"/>
        </w:numPr>
        <w:rPr>
          <w:rFonts w:ascii="Calibri" w:cs="Calibri" w:eastAsia="Calibri" w:hAnsi="Calibri"/>
          <w:sz w:val="18"/>
          <w:szCs w:val="18"/>
          <w:color w:val="auto"/>
        </w:rPr>
      </w:pPr>
      <w:r>
        <w:rPr>
          <w:rFonts w:ascii="Calibri" w:cs="Calibri" w:eastAsia="Calibri" w:hAnsi="Calibri"/>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58"/>
        </w:numPr>
        <w:rPr>
          <w:rFonts w:ascii="Calibri" w:cs="Calibri" w:eastAsia="Calibri" w:hAnsi="Calibri"/>
          <w:sz w:val="18"/>
          <w:szCs w:val="18"/>
          <w:color w:val="auto"/>
        </w:rPr>
      </w:pPr>
      <w:r>
        <w:rPr>
          <w:rFonts w:ascii="Calibri" w:cs="Calibri" w:eastAsia="Calibri" w:hAnsi="Calibri"/>
          <w:sz w:val="18"/>
          <w:szCs w:val="18"/>
          <w:color w:val="auto"/>
        </w:rPr>
        <w:t>as mortgagee in possession or otherwise, for any income or principal amount which might have been produced by or realised from any asset comprised in such a Security Interest or for any reducton (however caused) in the value of such an asset,</w:t>
      </w:r>
    </w:p>
    <w:p>
      <w:pPr>
        <w:spacing w:after="0" w:line="184"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except that this does not exempt a Creditor Party or a receiver or manager from liability for losses shown to have been directly and mainly caused by the dishonesty or the wilful misconduct of such Creditor Party's own ofcers and employees or (as the case may be) such receiver's or manager's own partners or employees.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19.9</w:t>
        <w:tab/>
        <w:t>Relevant Persons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this Clause 19, a "</w:t>
      </w:r>
      <w:r>
        <w:rPr>
          <w:rFonts w:ascii="Calibri" w:cs="Calibri" w:eastAsia="Calibri" w:hAnsi="Calibri"/>
          <w:sz w:val="18"/>
          <w:szCs w:val="18"/>
          <w:b w:val="1"/>
          <w:bCs w:val="1"/>
          <w:color w:val="auto"/>
        </w:rPr>
        <w:t>Relevant Person</w:t>
      </w:r>
      <w:r>
        <w:rPr>
          <w:rFonts w:ascii="Calibri" w:cs="Calibri" w:eastAsia="Calibri" w:hAnsi="Calibri"/>
          <w:sz w:val="18"/>
          <w:szCs w:val="18"/>
          <w:color w:val="auto"/>
        </w:rPr>
        <w:t>" means the Borrower and any Security Party.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19.10</w:t>
        <w:tab/>
        <w:t>Interpretaton.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In Clause 19.1(f) references to an event of default or a terminaton event include any event, howsoever described, which is similar to an event of default in a facility agreement or a terminaton event in a fnance lease; and in Clause 19.1(g) "</w:t>
      </w:r>
      <w:r>
        <w:rPr>
          <w:rFonts w:ascii="Calibri" w:cs="Calibri" w:eastAsia="Calibri" w:hAnsi="Calibri"/>
          <w:sz w:val="18"/>
          <w:szCs w:val="18"/>
          <w:b w:val="1"/>
          <w:bCs w:val="1"/>
          <w:color w:val="auto"/>
        </w:rPr>
        <w:t>petton</w:t>
      </w:r>
      <w:r>
        <w:rPr>
          <w:rFonts w:ascii="Calibri" w:cs="Calibri" w:eastAsia="Calibri" w:hAnsi="Calibri"/>
          <w:sz w:val="18"/>
          <w:szCs w:val="18"/>
          <w:color w:val="auto"/>
        </w:rPr>
        <w:t>" includes an applicaton.</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21" w:name="page222"/>
    <w:bookmarkEnd w:id="221"/>
    <w:p>
      <w:pPr>
        <w:spacing w:after="0"/>
        <w:tabs>
          <w:tab w:leader="none" w:pos="560" w:val="left"/>
        </w:tabs>
        <w:rPr>
          <w:sz w:val="20"/>
          <w:szCs w:val="20"/>
          <w:color w:val="auto"/>
        </w:rPr>
      </w:pPr>
      <w:r>
        <w:rPr>
          <w:rFonts w:ascii="Calibri" w:cs="Calibri" w:eastAsia="Calibri" w:hAnsi="Calibri"/>
          <w:sz w:val="18"/>
          <w:szCs w:val="18"/>
          <w:b w:val="1"/>
          <w:bCs w:val="1"/>
          <w:color w:val="auto"/>
        </w:rPr>
        <w:t>20</w:t>
      </w:r>
      <w:r>
        <w:rPr>
          <w:sz w:val="20"/>
          <w:szCs w:val="20"/>
          <w:color w:val="auto"/>
        </w:rPr>
        <w:tab/>
      </w:r>
      <w:r>
        <w:rPr>
          <w:rFonts w:ascii="Calibri" w:cs="Calibri" w:eastAsia="Calibri" w:hAnsi="Calibri"/>
          <w:sz w:val="18"/>
          <w:szCs w:val="18"/>
          <w:b w:val="1"/>
          <w:bCs w:val="1"/>
          <w:color w:val="auto"/>
        </w:rPr>
        <w:t>FEES AND EXPENSES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20.1</w:t>
        <w:tab/>
        <w:t>Structuring and commitment fees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pay to the Agent:</w:t>
      </w:r>
    </w:p>
    <w:p>
      <w:pPr>
        <w:spacing w:after="0" w:line="183" w:lineRule="exact"/>
        <w:rPr>
          <w:sz w:val="20"/>
          <w:szCs w:val="20"/>
          <w:color w:val="auto"/>
        </w:rPr>
      </w:pPr>
    </w:p>
    <w:p>
      <w:pPr>
        <w:ind w:left="580" w:hanging="580"/>
        <w:spacing w:after="0" w:line="228" w:lineRule="auto"/>
        <w:tabs>
          <w:tab w:leader="none" w:pos="580" w:val="left"/>
        </w:tabs>
        <w:numPr>
          <w:ilvl w:val="0"/>
          <w:numId w:val="359"/>
        </w:numPr>
        <w:rPr>
          <w:rFonts w:ascii="Calibri" w:cs="Calibri" w:eastAsia="Calibri" w:hAnsi="Calibri"/>
          <w:sz w:val="18"/>
          <w:szCs w:val="18"/>
          <w:color w:val="auto"/>
        </w:rPr>
      </w:pPr>
      <w:r>
        <w:rPr>
          <w:rFonts w:ascii="Calibri" w:cs="Calibri" w:eastAsia="Calibri" w:hAnsi="Calibri"/>
          <w:sz w:val="18"/>
          <w:szCs w:val="18"/>
          <w:color w:val="auto"/>
        </w:rPr>
        <w:t>a non-refundable structuring fee in an amount equal to 0.75 per cent. of the amount actually drawn on the Drawdown Date, which shall be due and payable on the Drawdown Date; and</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59"/>
        </w:numPr>
        <w:rPr>
          <w:rFonts w:ascii="Calibri" w:cs="Calibri" w:eastAsia="Calibri" w:hAnsi="Calibri"/>
          <w:sz w:val="18"/>
          <w:szCs w:val="18"/>
          <w:color w:val="auto"/>
        </w:rPr>
      </w:pPr>
      <w:r>
        <w:rPr>
          <w:rFonts w:ascii="Calibri" w:cs="Calibri" w:eastAsia="Calibri" w:hAnsi="Calibri"/>
          <w:sz w:val="18"/>
          <w:szCs w:val="18"/>
          <w:color w:val="auto"/>
        </w:rPr>
        <w:t>a non-refundable commitment fee at the rate of 1 per cent. per annum on the undrawn or uncancelled amount of the Total Commitments, payable quarterly in arrears to the Agent for distributon among the Lenders pro rata to their Commitments, during the period from (and including) the date of this Agreement to the earlier of (i) the Drawdown Date and (ii) the last day of the Availability Period (and on the last day of such period).</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20.2</w:t>
        <w:tab/>
        <w:t>Costs of negotaton, preparaton etc.</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pay to the Agent on its demand the amount of all reasonable and documented legal and other expenses incurred by the Agent or the Security Trustee in connecton with the negotaton, preparaton, executon or registraton of any Finance Document or any related document or with any transacton contemplated by a Finance Document or a related document.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20.3</w:t>
        <w:tab/>
        <w:t>Costs of variatons, amendments, enforcement etc.</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pay to the Agent, on the Agent's demand, for the account of the Creditor Party concerned, the amount of all legal and other expenses (reasonable and documented other than in respect of paragraph (d) below) incurred by a Creditor Party in connecton with:</w:t>
      </w:r>
    </w:p>
    <w:p>
      <w:pPr>
        <w:spacing w:after="0" w:line="184" w:lineRule="exact"/>
        <w:rPr>
          <w:sz w:val="20"/>
          <w:szCs w:val="20"/>
          <w:color w:val="auto"/>
        </w:rPr>
      </w:pPr>
    </w:p>
    <w:p>
      <w:pPr>
        <w:ind w:left="580" w:hanging="580"/>
        <w:spacing w:after="0" w:line="228" w:lineRule="auto"/>
        <w:tabs>
          <w:tab w:leader="none" w:pos="580" w:val="left"/>
        </w:tabs>
        <w:numPr>
          <w:ilvl w:val="0"/>
          <w:numId w:val="360"/>
        </w:numPr>
        <w:rPr>
          <w:rFonts w:ascii="Calibri" w:cs="Calibri" w:eastAsia="Calibri" w:hAnsi="Calibri"/>
          <w:sz w:val="18"/>
          <w:szCs w:val="18"/>
          <w:color w:val="auto"/>
        </w:rPr>
      </w:pPr>
      <w:r>
        <w:rPr>
          <w:rFonts w:ascii="Calibri" w:cs="Calibri" w:eastAsia="Calibri" w:hAnsi="Calibri"/>
          <w:sz w:val="18"/>
          <w:szCs w:val="18"/>
          <w:color w:val="auto"/>
        </w:rPr>
        <w:t>any amendment or supplement (or any proposal for such an amendment or supplement) requested (or, in the case of a proposal, made) by or on behalf of the Borrower and relatng to a Finance Document or any other Pertnent Document;</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60"/>
        </w:numPr>
        <w:rPr>
          <w:rFonts w:ascii="Calibri" w:cs="Calibri" w:eastAsia="Calibri" w:hAnsi="Calibri"/>
          <w:sz w:val="18"/>
          <w:szCs w:val="18"/>
          <w:color w:val="auto"/>
        </w:rPr>
      </w:pPr>
      <w:r>
        <w:rPr>
          <w:rFonts w:ascii="Calibri" w:cs="Calibri" w:eastAsia="Calibri" w:hAnsi="Calibri"/>
          <w:sz w:val="18"/>
          <w:szCs w:val="18"/>
          <w:color w:val="auto"/>
        </w:rPr>
        <w:t>any consent, waiver or suspension of rights by the Lenders, the Majority Lenders or the Creditor Party concerned or any proposal for any of the foregoing requested (or, in the case of a proposal, made) by or on behalf of the Borrower under or in connecton with a Finance Document or any other Pertnent Document;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0"/>
        </w:numPr>
        <w:rPr>
          <w:rFonts w:ascii="Calibri" w:cs="Calibri" w:eastAsia="Calibri" w:hAnsi="Calibri"/>
          <w:sz w:val="18"/>
          <w:szCs w:val="18"/>
          <w:color w:val="auto"/>
        </w:rPr>
      </w:pPr>
      <w:r>
        <w:rPr>
          <w:rFonts w:ascii="Calibri" w:cs="Calibri" w:eastAsia="Calibri" w:hAnsi="Calibri"/>
          <w:sz w:val="18"/>
          <w:szCs w:val="18"/>
          <w:color w:val="auto"/>
        </w:rPr>
        <w:t>the valuaton of any security provided or ofered under and pursuant to Clause 15 or any other mater relatng to such security;</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60"/>
        </w:numPr>
        <w:rPr>
          <w:rFonts w:ascii="Calibri" w:cs="Calibri" w:eastAsia="Calibri" w:hAnsi="Calibri"/>
          <w:sz w:val="18"/>
          <w:szCs w:val="18"/>
          <w:color w:val="auto"/>
        </w:rPr>
      </w:pPr>
      <w:r>
        <w:rPr>
          <w:rFonts w:ascii="Calibri" w:cs="Calibri" w:eastAsia="Calibri" w:hAnsi="Calibri"/>
          <w:sz w:val="18"/>
          <w:szCs w:val="18"/>
          <w:color w:val="auto"/>
        </w:rPr>
        <w:t>any step taken by the Lender concerned with a view to the preservaton, protecton, exercise or enforcement of any rights or Security Interest created by a Finance Document or for any similar purpose including, without limitaton, any proceedings to recover or retain proceeds of enforcement or any other proceedings following enforcement proceedings untl the date all outstanding indebtedness to the Creditor Partes under the Finance Documents and any other Pertnent Document is repaid in full;</w:t>
      </w:r>
    </w:p>
    <w:p>
      <w:pPr>
        <w:spacing w:after="0" w:line="185"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60"/>
        </w:numPr>
        <w:rPr>
          <w:rFonts w:ascii="Calibri" w:cs="Calibri" w:eastAsia="Calibri" w:hAnsi="Calibri"/>
          <w:sz w:val="18"/>
          <w:szCs w:val="18"/>
          <w:color w:val="auto"/>
        </w:rPr>
      </w:pPr>
      <w:r>
        <w:rPr>
          <w:rFonts w:ascii="Calibri" w:cs="Calibri" w:eastAsia="Calibri" w:hAnsi="Calibri"/>
          <w:sz w:val="18"/>
          <w:szCs w:val="18"/>
          <w:color w:val="auto"/>
        </w:rPr>
        <w:t>any amendment or supplement (or any proposal for such an amendment or supplement) in connecton with a Finance Document or any other Pertnent Document required as contemplated in Clause 27.4; or</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79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22" w:name="page223"/>
    <w:bookmarkEnd w:id="222"/>
    <w:p>
      <w:pPr>
        <w:ind w:left="580" w:hanging="580"/>
        <w:spacing w:after="0" w:line="228" w:lineRule="auto"/>
        <w:tabs>
          <w:tab w:leader="none" w:pos="580" w:val="left"/>
        </w:tabs>
        <w:numPr>
          <w:ilvl w:val="0"/>
          <w:numId w:val="361"/>
        </w:numPr>
        <w:rPr>
          <w:rFonts w:ascii="Calibri" w:cs="Calibri" w:eastAsia="Calibri" w:hAnsi="Calibri"/>
          <w:sz w:val="18"/>
          <w:szCs w:val="18"/>
          <w:color w:val="auto"/>
        </w:rPr>
      </w:pPr>
      <w:r>
        <w:rPr>
          <w:rFonts w:ascii="Calibri" w:cs="Calibri" w:eastAsia="Calibri" w:hAnsi="Calibri"/>
          <w:sz w:val="18"/>
          <w:szCs w:val="18"/>
          <w:color w:val="auto"/>
        </w:rPr>
        <w:t>any amendment or supplement as a result of (i) the introducton of or any change in (or in the interpretaton, administraton or applicaton of) any law or regulaton or (ii) compliance with any law or regulaton made afer the date of this Agreement.</w:t>
      </w:r>
    </w:p>
    <w:p>
      <w:pPr>
        <w:spacing w:after="0" w:line="184"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There shall be recoverable under paragraph (d) the full amount of all legal expenses, whether or not such as would be allowed under rules of court or any taxaton or other procedure carried out under such rules.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20.4</w:t>
        <w:tab/>
        <w:t>RFR transiton costs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Borrower shall on demand reimburse each of the Agent and the Security Trustee for the amount of all costs and expenses (including legal fees) reasonably incurred by each Creditor Party in connecton with:</w:t>
      </w:r>
    </w:p>
    <w:p>
      <w:pPr>
        <w:spacing w:after="0" w:line="182" w:lineRule="exact"/>
        <w:rPr>
          <w:sz w:val="20"/>
          <w:szCs w:val="20"/>
          <w:color w:val="auto"/>
        </w:rPr>
      </w:pPr>
    </w:p>
    <w:p>
      <w:pPr>
        <w:ind w:left="580" w:hanging="580"/>
        <w:spacing w:after="0"/>
        <w:tabs>
          <w:tab w:leader="none" w:pos="580" w:val="left"/>
        </w:tabs>
        <w:numPr>
          <w:ilvl w:val="0"/>
          <w:numId w:val="362"/>
        </w:numPr>
        <w:rPr>
          <w:rFonts w:ascii="Calibri" w:cs="Calibri" w:eastAsia="Calibri" w:hAnsi="Calibri"/>
          <w:sz w:val="18"/>
          <w:szCs w:val="18"/>
          <w:color w:val="auto"/>
        </w:rPr>
      </w:pPr>
      <w:r>
        <w:rPr>
          <w:rFonts w:ascii="Calibri" w:cs="Calibri" w:eastAsia="Calibri" w:hAnsi="Calibri"/>
          <w:sz w:val="18"/>
          <w:szCs w:val="18"/>
          <w:color w:val="auto"/>
        </w:rPr>
        <w:t>the negotaton or entry into of any Reference Rate Supplement or Compounding Methodology Supplement;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2"/>
        </w:numPr>
        <w:rPr>
          <w:rFonts w:ascii="Calibri" w:cs="Calibri" w:eastAsia="Calibri" w:hAnsi="Calibri"/>
          <w:sz w:val="18"/>
          <w:szCs w:val="18"/>
          <w:color w:val="auto"/>
        </w:rPr>
      </w:pPr>
      <w:r>
        <w:rPr>
          <w:rFonts w:ascii="Calibri" w:cs="Calibri" w:eastAsia="Calibri" w:hAnsi="Calibri"/>
          <w:sz w:val="18"/>
          <w:szCs w:val="18"/>
          <w:color w:val="auto"/>
        </w:rPr>
        <w:t>any amendment, waiver or consent relatng to:</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62"/>
        </w:numPr>
        <w:rPr>
          <w:rFonts w:ascii="Calibri" w:cs="Calibri" w:eastAsia="Calibri" w:hAnsi="Calibri"/>
          <w:sz w:val="18"/>
          <w:szCs w:val="18"/>
          <w:color w:val="auto"/>
        </w:rPr>
      </w:pPr>
      <w:r>
        <w:rPr>
          <w:rFonts w:ascii="Calibri" w:cs="Calibri" w:eastAsia="Calibri" w:hAnsi="Calibri"/>
          <w:sz w:val="18"/>
          <w:szCs w:val="18"/>
          <w:color w:val="auto"/>
        </w:rPr>
        <w:t>any Reference Rate Supplement or Compounding Methodology Supplement;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62"/>
        </w:numPr>
        <w:rPr>
          <w:rFonts w:ascii="Calibri" w:cs="Calibri" w:eastAsia="Calibri" w:hAnsi="Calibri"/>
          <w:sz w:val="18"/>
          <w:szCs w:val="18"/>
          <w:color w:val="auto"/>
        </w:rPr>
      </w:pPr>
      <w:r>
        <w:rPr>
          <w:rFonts w:ascii="Calibri" w:cs="Calibri" w:eastAsia="Calibri" w:hAnsi="Calibri"/>
          <w:sz w:val="18"/>
          <w:szCs w:val="18"/>
          <w:color w:val="auto"/>
        </w:rPr>
        <w:t>any change arising as a result of an amendment required pursuant to any of Clause 5.7 or 27.4, including without limitaton any costs relatng to amendments to the Finance Documents and/or any registraton requirements.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20.5</w:t>
        <w:tab/>
        <w:t>Documentary taxes</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The Borrower shall promptly pay any tax payable on or by reference to any Finance Document, and shall, on the Agent's demand, fully indemnify each Creditor Party against any claims, expenses, liabilites and losses resultng from any failure or delay by the Borrower to pay such a tax.</w:t>
      </w:r>
    </w:p>
    <w:p>
      <w:pPr>
        <w:spacing w:after="0" w:line="360"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20.6</w:t>
        <w:tab/>
        <w:t>Certfcaton of amounts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A notce which is signed by two ofcers of a Creditor Party, which states that a specifed amount, or aggregate amount, is due to that Creditor Party under this Clause 20 and which indicates (by specifying a detailed breakdown unless the Agent is unable to provide a detailed breakdown due to administratve reasons and relevant supportng documentaton on best efort basis) the maters in respect of which the amount, or aggregate amount, is due shall be prima facie evidence that the amount, or aggregate amount, is due.</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w:t>
      </w:r>
      <w:r>
        <w:rPr>
          <w:sz w:val="20"/>
          <w:szCs w:val="20"/>
          <w:color w:val="auto"/>
        </w:rPr>
        <w:tab/>
      </w:r>
      <w:r>
        <w:rPr>
          <w:rFonts w:ascii="Calibri" w:cs="Calibri" w:eastAsia="Calibri" w:hAnsi="Calibri"/>
          <w:sz w:val="18"/>
          <w:szCs w:val="18"/>
          <w:b w:val="1"/>
          <w:bCs w:val="1"/>
          <w:color w:val="auto"/>
        </w:rPr>
        <w:t>INDEMNITIES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21.1</w:t>
        <w:tab/>
        <w:t>Indemnites regarding borrowing and repayment of Loan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fully indemnify the Agent and each Lender on the Agent's demand and the Security Trustee on its demand in respect of all claims, expenses, liabilites and losses which are made or brought against or incurred by that Creditor Party, or which that Creditor Party reasonably and with due diligence estmates that it will incur, as a result of or in connecton with:</w:t>
      </w:r>
    </w:p>
    <w:p>
      <w:pPr>
        <w:spacing w:after="0" w:line="184" w:lineRule="exact"/>
        <w:rPr>
          <w:sz w:val="20"/>
          <w:szCs w:val="20"/>
          <w:color w:val="auto"/>
        </w:rPr>
      </w:pPr>
    </w:p>
    <w:p>
      <w:pPr>
        <w:ind w:left="580" w:hanging="580"/>
        <w:spacing w:after="0" w:line="228" w:lineRule="auto"/>
        <w:tabs>
          <w:tab w:leader="none" w:pos="580" w:val="left"/>
        </w:tabs>
        <w:numPr>
          <w:ilvl w:val="0"/>
          <w:numId w:val="363"/>
        </w:numPr>
        <w:rPr>
          <w:rFonts w:ascii="Calibri" w:cs="Calibri" w:eastAsia="Calibri" w:hAnsi="Calibri"/>
          <w:sz w:val="18"/>
          <w:szCs w:val="18"/>
          <w:color w:val="auto"/>
        </w:rPr>
      </w:pPr>
      <w:r>
        <w:rPr>
          <w:rFonts w:ascii="Calibri" w:cs="Calibri" w:eastAsia="Calibri" w:hAnsi="Calibri"/>
          <w:sz w:val="18"/>
          <w:szCs w:val="18"/>
          <w:color w:val="auto"/>
        </w:rPr>
        <w:t>the Loan not being borrowed on the date specifed in the Drawdown Notce for any reason other than a default by the Lender claiming the indemnity afer the Drawdown Notce has been served in accordance with the provisions of this Agreement;</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223" w:name="page224"/>
    <w:bookmarkEnd w:id="223"/>
    <w:p>
      <w:pPr>
        <w:ind w:left="580" w:hanging="580"/>
        <w:spacing w:after="0" w:line="228" w:lineRule="auto"/>
        <w:tabs>
          <w:tab w:leader="none" w:pos="580" w:val="left"/>
        </w:tabs>
        <w:numPr>
          <w:ilvl w:val="0"/>
          <w:numId w:val="364"/>
        </w:numPr>
        <w:rPr>
          <w:rFonts w:ascii="Calibri" w:cs="Calibri" w:eastAsia="Calibri" w:hAnsi="Calibri"/>
          <w:sz w:val="18"/>
          <w:szCs w:val="18"/>
          <w:color w:val="auto"/>
        </w:rPr>
      </w:pPr>
      <w:r>
        <w:rPr>
          <w:rFonts w:ascii="Calibri" w:cs="Calibri" w:eastAsia="Calibri" w:hAnsi="Calibri"/>
          <w:sz w:val="18"/>
          <w:szCs w:val="18"/>
          <w:color w:val="auto"/>
        </w:rPr>
        <w:t>the receipt or recovery of all or any part of the Loan or an overdue sum otherwise than on the last day of an Interest Period or other relevant period;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64"/>
        </w:numPr>
        <w:rPr>
          <w:rFonts w:ascii="Calibri" w:cs="Calibri" w:eastAsia="Calibri" w:hAnsi="Calibri"/>
          <w:sz w:val="18"/>
          <w:szCs w:val="18"/>
          <w:color w:val="auto"/>
        </w:rPr>
      </w:pPr>
      <w:r>
        <w:rPr>
          <w:rFonts w:ascii="Calibri" w:cs="Calibri" w:eastAsia="Calibri" w:hAnsi="Calibri"/>
          <w:sz w:val="18"/>
          <w:szCs w:val="18"/>
          <w:color w:val="auto"/>
        </w:rPr>
        <w:t>any failure (for whatever reason) by the Borrower to make payment of any amount due under a Finance Document on the due date or, if so payable, on demand (afer giving credit for any default interest paid by the Borrower on the amount concerned under Clause 7) including, but not limited to, any costs and expenses of enforcing any Security Interests created by the Finance Documents and any claims, liabilites and losses which may be brought against, or incurred by, a Creditor Party when enforcing any Security Interests created by the Finance Documents; and</w:t>
      </w:r>
    </w:p>
    <w:p>
      <w:pPr>
        <w:spacing w:after="0" w:line="32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64"/>
        </w:numPr>
        <w:rPr>
          <w:rFonts w:ascii="Calibri" w:cs="Calibri" w:eastAsia="Calibri" w:hAnsi="Calibri"/>
          <w:sz w:val="18"/>
          <w:szCs w:val="18"/>
          <w:color w:val="auto"/>
        </w:rPr>
      </w:pPr>
      <w:r>
        <w:rPr>
          <w:rFonts w:ascii="Calibri" w:cs="Calibri" w:eastAsia="Calibri" w:hAnsi="Calibri"/>
          <w:sz w:val="18"/>
          <w:szCs w:val="18"/>
          <w:color w:val="auto"/>
        </w:rPr>
        <w:t>the occurrence and/or contnuance of an Event of Default or a Potental Event of Default and/or the acceleraton of repayment of the Loan under Clause 19 (including, without limitaton, any costs, expenses or liabilites incurred for a Creditor Party in relaton to any Insurances taken or arranged by that Creditor Party following the occurrence of an Event of Default in relaton to port risks, new liability insurance or any other type of insurance),</w:t>
      </w:r>
    </w:p>
    <w:p>
      <w:pPr>
        <w:spacing w:after="0" w:line="185"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and in respect of any tax (other than tax on its overall net income and a FATCA Deducton) for which a Creditor Party is liable in connecton with any amount paid or payable to that Creditor Party (whether for its own account or otherwise) under any Finance Document.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21.2</w:t>
        <w:tab/>
        <w:t>Break Costs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If a Lender (the "</w:t>
      </w:r>
      <w:r>
        <w:rPr>
          <w:rFonts w:ascii="Calibri" w:cs="Calibri" w:eastAsia="Calibri" w:hAnsi="Calibri"/>
          <w:sz w:val="18"/>
          <w:szCs w:val="18"/>
          <w:b w:val="1"/>
          <w:bCs w:val="1"/>
          <w:color w:val="auto"/>
        </w:rPr>
        <w:t>Notfying Lender</w:t>
      </w:r>
      <w:r>
        <w:rPr>
          <w:rFonts w:ascii="Calibri" w:cs="Calibri" w:eastAsia="Calibri" w:hAnsi="Calibri"/>
          <w:sz w:val="18"/>
          <w:szCs w:val="18"/>
          <w:color w:val="auto"/>
        </w:rPr>
        <w:t>") notfes the Agent that as a consequence of receipt or recovery of all or any part of the Loan (a "</w:t>
      </w:r>
      <w:r>
        <w:rPr>
          <w:rFonts w:ascii="Calibri" w:cs="Calibri" w:eastAsia="Calibri" w:hAnsi="Calibri"/>
          <w:sz w:val="18"/>
          <w:szCs w:val="18"/>
          <w:b w:val="1"/>
          <w:bCs w:val="1"/>
          <w:color w:val="auto"/>
        </w:rPr>
        <w:t>Payment</w:t>
      </w:r>
      <w:r>
        <w:rPr>
          <w:rFonts w:ascii="Calibri" w:cs="Calibri" w:eastAsia="Calibri" w:hAnsi="Calibri"/>
          <w:sz w:val="18"/>
          <w:szCs w:val="18"/>
          <w:color w:val="auto"/>
        </w:rPr>
        <w:t>") on a day other than the last day of an Interest Period applicable to the sum received or recovered the Notfying Lender has or will, with efect from a specifed date, incur Break Costs:</w:t>
      </w:r>
    </w:p>
    <w:p>
      <w:pPr>
        <w:spacing w:after="0" w:line="182" w:lineRule="exact"/>
        <w:rPr>
          <w:sz w:val="20"/>
          <w:szCs w:val="20"/>
          <w:color w:val="auto"/>
        </w:rPr>
      </w:pPr>
    </w:p>
    <w:p>
      <w:pPr>
        <w:ind w:left="580" w:hanging="580"/>
        <w:spacing w:after="0"/>
        <w:tabs>
          <w:tab w:leader="none" w:pos="580" w:val="left"/>
        </w:tabs>
        <w:numPr>
          <w:ilvl w:val="0"/>
          <w:numId w:val="365"/>
        </w:numPr>
        <w:rPr>
          <w:rFonts w:ascii="Calibri" w:cs="Calibri" w:eastAsia="Calibri" w:hAnsi="Calibri"/>
          <w:sz w:val="18"/>
          <w:szCs w:val="18"/>
          <w:color w:val="auto"/>
        </w:rPr>
      </w:pPr>
      <w:r>
        <w:rPr>
          <w:rFonts w:ascii="Calibri" w:cs="Calibri" w:eastAsia="Calibri" w:hAnsi="Calibri"/>
          <w:sz w:val="18"/>
          <w:szCs w:val="18"/>
          <w:color w:val="auto"/>
        </w:rPr>
        <w:t>the Agent shall promptly notfy the Borrower of a notce it receives from a Notfying Lender under this Clause 21.2;</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65"/>
        </w:numPr>
        <w:rPr>
          <w:rFonts w:ascii="Calibri" w:cs="Calibri" w:eastAsia="Calibri" w:hAnsi="Calibri"/>
          <w:sz w:val="18"/>
          <w:szCs w:val="18"/>
          <w:color w:val="auto"/>
        </w:rPr>
      </w:pPr>
      <w:r>
        <w:rPr>
          <w:rFonts w:ascii="Calibri" w:cs="Calibri" w:eastAsia="Calibri" w:hAnsi="Calibri"/>
          <w:sz w:val="18"/>
          <w:szCs w:val="18"/>
          <w:color w:val="auto"/>
        </w:rPr>
        <w:t>the Borrower shall, within three Business Days of the Agent's demand, pay to the Agent for the account of the Notfying Lender the amount of such Break Costs; and</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65"/>
        </w:numPr>
        <w:rPr>
          <w:rFonts w:ascii="Calibri" w:cs="Calibri" w:eastAsia="Calibri" w:hAnsi="Calibri"/>
          <w:sz w:val="18"/>
          <w:szCs w:val="18"/>
          <w:color w:val="auto"/>
        </w:rPr>
      </w:pPr>
      <w:r>
        <w:rPr>
          <w:rFonts w:ascii="Calibri" w:cs="Calibri" w:eastAsia="Calibri" w:hAnsi="Calibri"/>
          <w:sz w:val="18"/>
          <w:szCs w:val="18"/>
          <w:color w:val="auto"/>
        </w:rPr>
        <w:t>the Notfying Lender shall, as soon as reasonably practcable, following a request by the Borrower, provide a certfcate confrming the amount of the Notfying Lender's Break Costs for the Interest Period in which they accrue, such certfcate to be, in the absence of manifest error, conclusive and binding on the Borrower.</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In this Clause 21.2, "</w:t>
      </w:r>
      <w:r>
        <w:rPr>
          <w:rFonts w:ascii="Calibri" w:cs="Calibri" w:eastAsia="Calibri" w:hAnsi="Calibri"/>
          <w:sz w:val="18"/>
          <w:szCs w:val="18"/>
          <w:b w:val="1"/>
          <w:bCs w:val="1"/>
          <w:color w:val="auto"/>
        </w:rPr>
        <w:t>Break Costs</w:t>
      </w:r>
      <w:r>
        <w:rPr>
          <w:rFonts w:ascii="Calibri" w:cs="Calibri" w:eastAsia="Calibri" w:hAnsi="Calibri"/>
          <w:sz w:val="18"/>
          <w:szCs w:val="18"/>
          <w:color w:val="auto"/>
        </w:rPr>
        <w:t>" means the amount specifed as such in the Reference Rate Terms.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21.3</w:t>
        <w:tab/>
        <w:t>Other breakage costs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Without limitng its generality, Clause 21.1 covers any claim, expense, liability or loss, including (without limitaton):</w:t>
      </w:r>
    </w:p>
    <w:p>
      <w:pPr>
        <w:spacing w:after="0" w:line="183" w:lineRule="exact"/>
        <w:rPr>
          <w:sz w:val="20"/>
          <w:szCs w:val="20"/>
          <w:color w:val="auto"/>
        </w:rPr>
      </w:pPr>
    </w:p>
    <w:p>
      <w:pPr>
        <w:jc w:val="both"/>
        <w:ind w:left="580" w:hanging="580"/>
        <w:spacing w:after="0"/>
        <w:tabs>
          <w:tab w:leader="none" w:pos="580" w:val="left"/>
        </w:tabs>
        <w:numPr>
          <w:ilvl w:val="0"/>
          <w:numId w:val="366"/>
        </w:numPr>
        <w:rPr>
          <w:rFonts w:ascii="Calibri" w:cs="Calibri" w:eastAsia="Calibri" w:hAnsi="Calibri"/>
          <w:sz w:val="18"/>
          <w:szCs w:val="18"/>
          <w:color w:val="auto"/>
        </w:rPr>
      </w:pPr>
      <w:r>
        <w:rPr>
          <w:rFonts w:ascii="Calibri" w:cs="Calibri" w:eastAsia="Calibri" w:hAnsi="Calibri"/>
          <w:sz w:val="18"/>
          <w:szCs w:val="18"/>
          <w:color w:val="auto"/>
        </w:rPr>
        <w:t>a loss of a prospectve proft, incurred by a Lender in borrowing, liquidatng or re-employing deposits from third partes acquired, contracted for or arranged to fund, efect or maintain all or any part of its Contributon and/or any overdue amount (or an aggregate amount which includes its Contributon or any overdue amount) other than claims, expenses, liabilites and losses which are shown to have been directly and mainly caused by the gross negligence or wilful misconduct of the ofcers or employees of the Creditor Party concerned; and</w:t>
      </w:r>
    </w:p>
    <w:p>
      <w:pPr>
        <w:spacing w:after="0" w:line="32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30" w:right="339" w:bottom="1440" w:gutter="0" w:footer="0" w:header="0"/>
        </w:sectPr>
      </w:pPr>
    </w:p>
    <w:bookmarkStart w:id="224" w:name="page225"/>
    <w:bookmarkEnd w:id="224"/>
    <w:p>
      <w:pPr>
        <w:ind w:left="580" w:hanging="580"/>
        <w:spacing w:after="0"/>
        <w:tabs>
          <w:tab w:leader="none" w:pos="580" w:val="left"/>
        </w:tabs>
        <w:numPr>
          <w:ilvl w:val="0"/>
          <w:numId w:val="367"/>
        </w:numPr>
        <w:rPr>
          <w:rFonts w:ascii="Calibri" w:cs="Calibri" w:eastAsia="Calibri" w:hAnsi="Calibri"/>
          <w:sz w:val="18"/>
          <w:szCs w:val="18"/>
          <w:color w:val="auto"/>
        </w:rPr>
      </w:pPr>
      <w:r>
        <w:rPr>
          <w:rFonts w:ascii="Calibri" w:cs="Calibri" w:eastAsia="Calibri" w:hAnsi="Calibri"/>
          <w:sz w:val="18"/>
          <w:szCs w:val="18"/>
          <w:color w:val="auto"/>
        </w:rPr>
        <w:t>any applicable legal fees.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21.4</w:t>
        <w:tab/>
        <w:t>Miscellaneous indemnites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fully indemnify each Creditor Party severally on their respectve demands, without prejudice to any of their other rights under any of the Finance Documents, in respect of all claims, expenses, liabilites and losses which may be made or brought against or sustained or incurred by a Creditor Party, in any country, as a result of or in connecton with:</w:t>
      </w:r>
    </w:p>
    <w:p>
      <w:pPr>
        <w:spacing w:after="0" w:line="184" w:lineRule="exact"/>
        <w:rPr>
          <w:sz w:val="20"/>
          <w:szCs w:val="20"/>
          <w:color w:val="auto"/>
        </w:rPr>
      </w:pPr>
    </w:p>
    <w:p>
      <w:pPr>
        <w:ind w:left="580" w:hanging="580"/>
        <w:spacing w:after="0" w:line="228" w:lineRule="auto"/>
        <w:tabs>
          <w:tab w:leader="none" w:pos="580" w:val="left"/>
        </w:tabs>
        <w:numPr>
          <w:ilvl w:val="0"/>
          <w:numId w:val="368"/>
        </w:numPr>
        <w:rPr>
          <w:rFonts w:ascii="Calibri" w:cs="Calibri" w:eastAsia="Calibri" w:hAnsi="Calibri"/>
          <w:sz w:val="18"/>
          <w:szCs w:val="18"/>
          <w:color w:val="auto"/>
        </w:rPr>
      </w:pPr>
      <w:r>
        <w:rPr>
          <w:rFonts w:ascii="Calibri" w:cs="Calibri" w:eastAsia="Calibri" w:hAnsi="Calibri"/>
          <w:sz w:val="18"/>
          <w:szCs w:val="18"/>
          <w:color w:val="auto"/>
        </w:rPr>
        <w:t>any acton taken, or omited or neglected to be taken, under or in connecton with any Finance Document by the Agent, the Security Trustee or any other Creditor Party or by any receiver appointed under a Finance Document;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8"/>
        </w:numPr>
        <w:rPr>
          <w:rFonts w:ascii="Calibri" w:cs="Calibri" w:eastAsia="Calibri" w:hAnsi="Calibri"/>
          <w:sz w:val="18"/>
          <w:szCs w:val="18"/>
          <w:color w:val="auto"/>
        </w:rPr>
      </w:pPr>
      <w:r>
        <w:rPr>
          <w:rFonts w:ascii="Calibri" w:cs="Calibri" w:eastAsia="Calibri" w:hAnsi="Calibri"/>
          <w:sz w:val="18"/>
          <w:szCs w:val="18"/>
          <w:color w:val="auto"/>
        </w:rPr>
        <w:t>investgatng any event which the Creditor Party concerned reasonably believes consttutes an Event of Default or Potental Event of Default;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68"/>
        </w:numPr>
        <w:rPr>
          <w:rFonts w:ascii="Calibri" w:cs="Calibri" w:eastAsia="Calibri" w:hAnsi="Calibri"/>
          <w:sz w:val="18"/>
          <w:szCs w:val="18"/>
          <w:color w:val="auto"/>
        </w:rPr>
      </w:pPr>
      <w:r>
        <w:rPr>
          <w:rFonts w:ascii="Calibri" w:cs="Calibri" w:eastAsia="Calibri" w:hAnsi="Calibri"/>
          <w:sz w:val="18"/>
          <w:szCs w:val="18"/>
          <w:color w:val="auto"/>
        </w:rPr>
        <w:t>actng or relying on any notce, request or instructon which the Creditor Party concerned reasonably believes to be genuine, correct and appropriately authorised;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8"/>
        </w:numPr>
        <w:rPr>
          <w:rFonts w:ascii="Calibri" w:cs="Calibri" w:eastAsia="Calibri" w:hAnsi="Calibri"/>
          <w:sz w:val="18"/>
          <w:szCs w:val="18"/>
          <w:color w:val="auto"/>
        </w:rPr>
      </w:pPr>
      <w:r>
        <w:rPr>
          <w:rFonts w:ascii="Calibri" w:cs="Calibri" w:eastAsia="Calibri" w:hAnsi="Calibri"/>
          <w:sz w:val="18"/>
          <w:szCs w:val="18"/>
          <w:color w:val="auto"/>
        </w:rPr>
        <w:t>any other Pertnent Mater,</w:t>
      </w:r>
    </w:p>
    <w:p>
      <w:pPr>
        <w:spacing w:after="0" w:line="183"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other than claims, expenses, liabilites and losses which are shown to have been directly and mainly caused by the dishonesty, gross negligence or wilful misconduct of the ofcers or employees of the Creditor Party concerned.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21.5</w:t>
        <w:tab/>
        <w:t>Environmental Indemnity</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Without prejudice to the generality of Clauses 21.1 and 21.4, this Clause 21.5 covers any claims, demands, proceedings, taxes, losses, liabilites or expenses of every kind which arise, or are asserted, under or in connecton with any law relatng to safety at sea, polluton or the protecton of the environment, the ISM Code or the ISPS Code or any Environmental Law.</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21.6</w:t>
        <w:tab/>
        <w:t>Currency indemnity</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If any sum due from the Borrower or any Security Party or any Approved Manager to a Creditor Party under a Finance Document or under any order, award or judgment relatng to a Finance Document (a "</w:t>
      </w:r>
      <w:r>
        <w:rPr>
          <w:rFonts w:ascii="Calibri" w:cs="Calibri" w:eastAsia="Calibri" w:hAnsi="Calibri"/>
          <w:sz w:val="18"/>
          <w:szCs w:val="18"/>
          <w:b w:val="1"/>
          <w:bCs w:val="1"/>
          <w:color w:val="auto"/>
        </w:rPr>
        <w:t>Sum</w:t>
      </w:r>
      <w:r>
        <w:rPr>
          <w:rFonts w:ascii="Calibri" w:cs="Calibri" w:eastAsia="Calibri" w:hAnsi="Calibri"/>
          <w:sz w:val="18"/>
          <w:szCs w:val="18"/>
          <w:color w:val="auto"/>
        </w:rPr>
        <w:t>") has to be converted from the currency in which the Finance Document provided for the Sum to be paid (the "</w:t>
      </w:r>
      <w:r>
        <w:rPr>
          <w:rFonts w:ascii="Calibri" w:cs="Calibri" w:eastAsia="Calibri" w:hAnsi="Calibri"/>
          <w:sz w:val="18"/>
          <w:szCs w:val="18"/>
          <w:b w:val="1"/>
          <w:bCs w:val="1"/>
          <w:color w:val="auto"/>
        </w:rPr>
        <w:t>Contractual Currency</w:t>
      </w:r>
      <w:r>
        <w:rPr>
          <w:rFonts w:ascii="Calibri" w:cs="Calibri" w:eastAsia="Calibri" w:hAnsi="Calibri"/>
          <w:sz w:val="18"/>
          <w:szCs w:val="18"/>
          <w:color w:val="auto"/>
        </w:rPr>
        <w:t>") into another currency (the "</w:t>
      </w:r>
      <w:r>
        <w:rPr>
          <w:rFonts w:ascii="Calibri" w:cs="Calibri" w:eastAsia="Calibri" w:hAnsi="Calibri"/>
          <w:sz w:val="18"/>
          <w:szCs w:val="18"/>
          <w:b w:val="1"/>
          <w:bCs w:val="1"/>
          <w:color w:val="auto"/>
        </w:rPr>
        <w:t>Payment Currency</w:t>
      </w:r>
      <w:r>
        <w:rPr>
          <w:rFonts w:ascii="Calibri" w:cs="Calibri" w:eastAsia="Calibri" w:hAnsi="Calibri"/>
          <w:sz w:val="18"/>
          <w:szCs w:val="18"/>
          <w:color w:val="auto"/>
        </w:rPr>
        <w:t>") for the purpose of:</w:t>
      </w:r>
    </w:p>
    <w:p>
      <w:pPr>
        <w:spacing w:after="0" w:line="343" w:lineRule="exact"/>
        <w:rPr>
          <w:sz w:val="20"/>
          <w:szCs w:val="20"/>
          <w:color w:val="auto"/>
        </w:rPr>
      </w:pPr>
    </w:p>
    <w:p>
      <w:pPr>
        <w:ind w:left="580" w:hanging="580"/>
        <w:spacing w:after="0" w:line="228" w:lineRule="auto"/>
        <w:tabs>
          <w:tab w:leader="none" w:pos="580" w:val="left"/>
        </w:tabs>
        <w:numPr>
          <w:ilvl w:val="0"/>
          <w:numId w:val="369"/>
        </w:numPr>
        <w:rPr>
          <w:rFonts w:ascii="Calibri" w:cs="Calibri" w:eastAsia="Calibri" w:hAnsi="Calibri"/>
          <w:sz w:val="18"/>
          <w:szCs w:val="18"/>
          <w:color w:val="auto"/>
        </w:rPr>
      </w:pPr>
      <w:r>
        <w:rPr>
          <w:rFonts w:ascii="Calibri" w:cs="Calibri" w:eastAsia="Calibri" w:hAnsi="Calibri"/>
          <w:sz w:val="18"/>
          <w:szCs w:val="18"/>
          <w:color w:val="auto"/>
        </w:rPr>
        <w:t>making, fling or lodging any claim or proof against the Borrower or any Security Party or any Approved Manager, whether in its liquidaton, any arrangement involving it or otherwise;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9"/>
        </w:numPr>
        <w:rPr>
          <w:rFonts w:ascii="Calibri" w:cs="Calibri" w:eastAsia="Calibri" w:hAnsi="Calibri"/>
          <w:sz w:val="18"/>
          <w:szCs w:val="18"/>
          <w:color w:val="auto"/>
        </w:rPr>
      </w:pPr>
      <w:r>
        <w:rPr>
          <w:rFonts w:ascii="Calibri" w:cs="Calibri" w:eastAsia="Calibri" w:hAnsi="Calibri"/>
          <w:sz w:val="18"/>
          <w:szCs w:val="18"/>
          <w:color w:val="auto"/>
        </w:rPr>
        <w:t>obtaining an order, judgment or award from any court or other tribunal in relaton to any litgaton or arbitraton proceedings;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69"/>
        </w:numPr>
        <w:rPr>
          <w:rFonts w:ascii="Calibri" w:cs="Calibri" w:eastAsia="Calibri" w:hAnsi="Calibri"/>
          <w:sz w:val="18"/>
          <w:szCs w:val="18"/>
          <w:color w:val="auto"/>
        </w:rPr>
      </w:pPr>
      <w:r>
        <w:rPr>
          <w:rFonts w:ascii="Calibri" w:cs="Calibri" w:eastAsia="Calibri" w:hAnsi="Calibri"/>
          <w:sz w:val="18"/>
          <w:szCs w:val="18"/>
          <w:color w:val="auto"/>
        </w:rPr>
        <w:t>enforcing any such order, judgment or award,</w:t>
      </w:r>
    </w:p>
    <w:p>
      <w:pPr>
        <w:spacing w:after="0" w:line="183" w:lineRule="exact"/>
        <w:rPr>
          <w:rFonts w:ascii="Calibri" w:cs="Calibri" w:eastAsia="Calibri" w:hAnsi="Calibri"/>
          <w:sz w:val="18"/>
          <w:szCs w:val="18"/>
          <w:color w:val="auto"/>
        </w:rPr>
      </w:pPr>
    </w:p>
    <w:p>
      <w:pPr>
        <w:jc w:val="both"/>
        <w:ind w:left="600"/>
        <w:spacing w:after="0" w:line="225" w:lineRule="auto"/>
        <w:rPr>
          <w:rFonts w:ascii="Calibri" w:cs="Calibri" w:eastAsia="Calibri" w:hAnsi="Calibri"/>
          <w:sz w:val="18"/>
          <w:szCs w:val="18"/>
          <w:color w:val="auto"/>
        </w:rPr>
      </w:pPr>
      <w:r>
        <w:rPr>
          <w:rFonts w:ascii="Calibri" w:cs="Calibri" w:eastAsia="Calibri" w:hAnsi="Calibri"/>
          <w:sz w:val="18"/>
          <w:szCs w:val="18"/>
          <w:color w:val="auto"/>
        </w:rPr>
        <w:t>the Borrower shall as an independent obligaton, within three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25" w:name="page226"/>
    <w:bookmarkEnd w:id="225"/>
    <w:p>
      <w:pPr>
        <w:jc w:val="both"/>
        <w:ind w:left="600"/>
        <w:spacing w:after="0"/>
        <w:rPr>
          <w:sz w:val="20"/>
          <w:szCs w:val="20"/>
          <w:color w:val="auto"/>
        </w:rPr>
      </w:pPr>
      <w:r>
        <w:rPr>
          <w:rFonts w:ascii="Calibri" w:cs="Calibri" w:eastAsia="Calibri" w:hAnsi="Calibri"/>
          <w:sz w:val="18"/>
          <w:szCs w:val="18"/>
          <w:color w:val="auto"/>
        </w:rPr>
        <w:t>of exchange actually used to convert the Sum from the Payment Currency into the Contractual Currency and (B) the available rate of exchange.</w:t>
      </w:r>
    </w:p>
    <w:p>
      <w:pPr>
        <w:spacing w:after="0" w:line="381"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In this Clause 21.6, the "</w:t>
      </w:r>
      <w:r>
        <w:rPr>
          <w:rFonts w:ascii="Calibri" w:cs="Calibri" w:eastAsia="Calibri" w:hAnsi="Calibri"/>
          <w:sz w:val="18"/>
          <w:szCs w:val="18"/>
          <w:b w:val="1"/>
          <w:bCs w:val="1"/>
          <w:color w:val="auto"/>
        </w:rPr>
        <w:t>available rate of exchange</w:t>
      </w:r>
      <w:r>
        <w:rPr>
          <w:rFonts w:ascii="Calibri" w:cs="Calibri" w:eastAsia="Calibri" w:hAnsi="Calibri"/>
          <w:sz w:val="18"/>
          <w:szCs w:val="18"/>
          <w:color w:val="auto"/>
        </w:rPr>
        <w:t>" means the rate at which the Creditor Party concerned is able at the opening of business (London tme) on the Business Day afer it receives the Sum to purchase the Contractual Currency with the Payment Currency.</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waives any right it may have in any jurisdicton to pay any amount under the Finance Documents in a currency other than that in which it is expressed to be payable.</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If any Creditor Party receives any Sum in a currency other than the Contractual Currency, the Borrower shall indemnify in full the Creditor Party concerned against any cost, loss or liability arising directly or indirectly from any conversion of such Sum to the Contractual Currency.</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This Clause 21.6 creates a separate liability of the Borrower which is distnct from its other liabilites under the Finance Documents and which shall not be merged in any judgment or order relatng to those other liabilites.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21.7</w:t>
        <w:tab/>
        <w:t>Certfcaton of amounts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 notce which is signed by two ofcers of a Creditor Party, which states that a specifed amount, or aggregate amount, is due to that Creditor Party under this Clause 21 and which indicates (without necessarily specifying a detailed breakdown) the maters in respect of which the amount, or aggregate amount, is due shall be prima facie evidence that the amount, or aggregate amount, is due.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21.8</w:t>
        <w:tab/>
        <w:t>Sums deemed due to a Lender</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For the purposes of this Clause 21, a sum payable by the Borrower to the Agent or the Security Trustee for distributon to a Lender shall be treated as a sum due to that Lender.</w:t>
      </w:r>
    </w:p>
    <w:p>
      <w:pPr>
        <w:spacing w:after="0" w:line="182" w:lineRule="exact"/>
        <w:rPr>
          <w:sz w:val="20"/>
          <w:szCs w:val="20"/>
          <w:color w:val="auto"/>
        </w:rPr>
      </w:pPr>
    </w:p>
    <w:p>
      <w:pPr>
        <w:ind w:left="580" w:hanging="580"/>
        <w:spacing w:after="0"/>
        <w:tabs>
          <w:tab w:leader="none" w:pos="580" w:val="left"/>
        </w:tabs>
        <w:numPr>
          <w:ilvl w:val="0"/>
          <w:numId w:val="37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NO SET-OFF OR TAX DEDUCTION</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7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No deductons</w:t>
      </w:r>
    </w:p>
    <w:p>
      <w:pPr>
        <w:spacing w:after="0" w:line="181" w:lineRule="exact"/>
        <w:rPr>
          <w:rFonts w:ascii="Calibri" w:cs="Calibri" w:eastAsia="Calibri" w:hAnsi="Calibri"/>
          <w:sz w:val="18"/>
          <w:szCs w:val="18"/>
          <w:b w:val="1"/>
          <w:bCs w:val="1"/>
          <w:color w:val="auto"/>
        </w:rPr>
      </w:pPr>
    </w:p>
    <w:p>
      <w:pPr>
        <w:ind w:left="600"/>
        <w:spacing w:after="0"/>
        <w:rPr>
          <w:rFonts w:ascii="Calibri" w:cs="Calibri" w:eastAsia="Calibri" w:hAnsi="Calibri"/>
          <w:sz w:val="18"/>
          <w:szCs w:val="18"/>
          <w:b w:val="1"/>
          <w:bCs w:val="1"/>
          <w:color w:val="auto"/>
        </w:rPr>
      </w:pPr>
      <w:r>
        <w:rPr>
          <w:rFonts w:ascii="Calibri" w:cs="Calibri" w:eastAsia="Calibri" w:hAnsi="Calibri"/>
          <w:sz w:val="18"/>
          <w:szCs w:val="18"/>
          <w:color w:val="auto"/>
        </w:rPr>
        <w:t>All amounts due from the Borrower under a Finance Document shall be paid:</w:t>
      </w:r>
    </w:p>
    <w:p>
      <w:pPr>
        <w:spacing w:after="0" w:line="181" w:lineRule="exact"/>
        <w:rPr>
          <w:sz w:val="20"/>
          <w:szCs w:val="20"/>
          <w:color w:val="auto"/>
        </w:rPr>
      </w:pPr>
    </w:p>
    <w:p>
      <w:pPr>
        <w:ind w:left="580" w:hanging="580"/>
        <w:spacing w:after="0"/>
        <w:tabs>
          <w:tab w:leader="none" w:pos="580" w:val="left"/>
        </w:tabs>
        <w:numPr>
          <w:ilvl w:val="0"/>
          <w:numId w:val="372"/>
        </w:numPr>
        <w:rPr>
          <w:rFonts w:ascii="Calibri" w:cs="Calibri" w:eastAsia="Calibri" w:hAnsi="Calibri"/>
          <w:sz w:val="18"/>
          <w:szCs w:val="18"/>
          <w:color w:val="auto"/>
        </w:rPr>
      </w:pPr>
      <w:r>
        <w:rPr>
          <w:rFonts w:ascii="Calibri" w:cs="Calibri" w:eastAsia="Calibri" w:hAnsi="Calibri"/>
          <w:sz w:val="18"/>
          <w:szCs w:val="18"/>
          <w:color w:val="auto"/>
        </w:rPr>
        <w:t>without any form of set of, counter-claim, cross-claim or conditon;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72"/>
        </w:numPr>
        <w:rPr>
          <w:rFonts w:ascii="Calibri" w:cs="Calibri" w:eastAsia="Calibri" w:hAnsi="Calibri"/>
          <w:sz w:val="18"/>
          <w:szCs w:val="18"/>
          <w:color w:val="auto"/>
        </w:rPr>
      </w:pPr>
      <w:r>
        <w:rPr>
          <w:rFonts w:ascii="Calibri" w:cs="Calibri" w:eastAsia="Calibri" w:hAnsi="Calibri"/>
          <w:sz w:val="18"/>
          <w:szCs w:val="18"/>
          <w:color w:val="auto"/>
        </w:rPr>
        <w:t>free and clear of any tax deducton except a tax deducton which the Borrower is required by law to make.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22.2</w:t>
        <w:tab/>
        <w:t>Grossing-up for taxes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If, at any tme, the Borrower is required by law, regulaton or regulatory requirement to make a tax deducton from any payment due under a Finance Document:</w:t>
      </w:r>
    </w:p>
    <w:p>
      <w:pPr>
        <w:spacing w:after="0" w:line="182" w:lineRule="exact"/>
        <w:rPr>
          <w:sz w:val="20"/>
          <w:szCs w:val="20"/>
          <w:color w:val="auto"/>
        </w:rPr>
      </w:pPr>
    </w:p>
    <w:p>
      <w:pPr>
        <w:ind w:left="580" w:hanging="580"/>
        <w:spacing w:after="0"/>
        <w:tabs>
          <w:tab w:leader="none" w:pos="580" w:val="left"/>
        </w:tabs>
        <w:numPr>
          <w:ilvl w:val="0"/>
          <w:numId w:val="373"/>
        </w:numPr>
        <w:rPr>
          <w:rFonts w:ascii="Calibri" w:cs="Calibri" w:eastAsia="Calibri" w:hAnsi="Calibri"/>
          <w:sz w:val="18"/>
          <w:szCs w:val="18"/>
          <w:color w:val="auto"/>
        </w:rPr>
      </w:pPr>
      <w:r>
        <w:rPr>
          <w:rFonts w:ascii="Calibri" w:cs="Calibri" w:eastAsia="Calibri" w:hAnsi="Calibri"/>
          <w:sz w:val="18"/>
          <w:szCs w:val="18"/>
          <w:color w:val="auto"/>
        </w:rPr>
        <w:t>the Borrower shall notfy the Agent as soon as it becomes aware of the requirement;</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73"/>
        </w:numPr>
        <w:rPr>
          <w:rFonts w:ascii="Calibri" w:cs="Calibri" w:eastAsia="Calibri" w:hAnsi="Calibri"/>
          <w:sz w:val="18"/>
          <w:szCs w:val="18"/>
          <w:color w:val="auto"/>
        </w:rPr>
      </w:pPr>
      <w:r>
        <w:rPr>
          <w:rFonts w:ascii="Calibri" w:cs="Calibri" w:eastAsia="Calibri" w:hAnsi="Calibri"/>
          <w:sz w:val="18"/>
          <w:szCs w:val="18"/>
          <w:color w:val="auto"/>
        </w:rPr>
        <w:t>the amount due in respect of the payment shall be increased by the amount necessary to ensure that, afer the making of such tax deducton, each Creditor Party receives on the due date for such payment (and retains free from any liability relatng to the tax deducton) a net</w:t>
      </w:r>
    </w:p>
    <w:p>
      <w:pPr>
        <w:spacing w:after="0" w:line="361"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26" w:name="page227"/>
    <w:bookmarkEnd w:id="226"/>
    <w:p>
      <w:pPr>
        <w:ind w:left="600"/>
        <w:spacing w:after="0"/>
        <w:rPr>
          <w:sz w:val="20"/>
          <w:szCs w:val="20"/>
          <w:color w:val="auto"/>
        </w:rPr>
      </w:pPr>
      <w:r>
        <w:rPr>
          <w:rFonts w:ascii="Calibri" w:cs="Calibri" w:eastAsia="Calibri" w:hAnsi="Calibri"/>
          <w:sz w:val="18"/>
          <w:szCs w:val="18"/>
          <w:color w:val="auto"/>
        </w:rPr>
        <w:t>amount which is equal to the full amount which it would have received had no such tax deducton been required to be made; and</w:t>
      </w:r>
    </w:p>
    <w:p>
      <w:pPr>
        <w:spacing w:after="0" w:line="183" w:lineRule="exact"/>
        <w:rPr>
          <w:sz w:val="20"/>
          <w:szCs w:val="20"/>
          <w:color w:val="auto"/>
        </w:rPr>
      </w:pPr>
    </w:p>
    <w:p>
      <w:pPr>
        <w:ind w:left="580" w:hanging="580"/>
        <w:spacing w:after="0" w:line="228" w:lineRule="auto"/>
        <w:tabs>
          <w:tab w:leader="none" w:pos="580" w:val="left"/>
        </w:tabs>
        <w:numPr>
          <w:ilvl w:val="0"/>
          <w:numId w:val="374"/>
        </w:numPr>
        <w:rPr>
          <w:rFonts w:ascii="Calibri" w:cs="Calibri" w:eastAsia="Calibri" w:hAnsi="Calibri"/>
          <w:sz w:val="18"/>
          <w:szCs w:val="18"/>
          <w:color w:val="auto"/>
        </w:rPr>
      </w:pPr>
      <w:r>
        <w:rPr>
          <w:rFonts w:ascii="Calibri" w:cs="Calibri" w:eastAsia="Calibri" w:hAnsi="Calibri"/>
          <w:sz w:val="18"/>
          <w:szCs w:val="18"/>
          <w:color w:val="auto"/>
        </w:rPr>
        <w:t>the Borrower shall pay the full amount of the tax required to be deducted to the appropriate taxaton authority promptly in accordance with the relevant law, regulaton or regulatory requirement, and in any event before any fne or penalty arises.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22.3</w:t>
        <w:tab/>
        <w:t>Indemnity and evidence of payment of taxes</w:t>
      </w:r>
    </w:p>
    <w:p>
      <w:pPr>
        <w:spacing w:after="0" w:line="183" w:lineRule="exact"/>
        <w:rPr>
          <w:sz w:val="20"/>
          <w:szCs w:val="20"/>
          <w:color w:val="auto"/>
        </w:rPr>
      </w:pPr>
    </w:p>
    <w:p>
      <w:pPr>
        <w:jc w:val="both"/>
        <w:ind w:left="600"/>
        <w:spacing w:after="0" w:line="222" w:lineRule="auto"/>
        <w:rPr>
          <w:sz w:val="20"/>
          <w:szCs w:val="20"/>
          <w:color w:val="auto"/>
        </w:rPr>
      </w:pPr>
      <w:r>
        <w:rPr>
          <w:rFonts w:ascii="Calibri" w:cs="Calibri" w:eastAsia="Calibri" w:hAnsi="Calibri"/>
          <w:sz w:val="18"/>
          <w:szCs w:val="18"/>
          <w:color w:val="auto"/>
        </w:rPr>
        <w:t>The Borrower shall fully indemnify each Creditor Party on the Agent's demand in respect of all claims, expenses, liabilites and losses incurred by any Creditor Party by reason of any failure of the Borrower to make any tax deducton or by reason of any increased payment not being made on the due date for such payment in accordance with Clause 22.2. Within 30 days afer making any tax deducton, the Borrower shall deliver to the Agent any receipts, certfcates or other documentary evidence satsfactory to the Agent that the tax had been paid to the appropriate taxaton authority.</w:t>
      </w:r>
    </w:p>
    <w:p>
      <w:pPr>
        <w:spacing w:after="0" w:line="184"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22.4</w:t>
        <w:tab/>
        <w:t>Exclusion of tax on overall net income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In this Agreement "</w:t>
      </w:r>
      <w:r>
        <w:rPr>
          <w:rFonts w:ascii="Calibri" w:cs="Calibri" w:eastAsia="Calibri" w:hAnsi="Calibri"/>
          <w:sz w:val="18"/>
          <w:szCs w:val="18"/>
          <w:b w:val="1"/>
          <w:bCs w:val="1"/>
          <w:color w:val="auto"/>
        </w:rPr>
        <w:t>tax deducton</w:t>
      </w:r>
      <w:r>
        <w:rPr>
          <w:rFonts w:ascii="Calibri" w:cs="Calibri" w:eastAsia="Calibri" w:hAnsi="Calibri"/>
          <w:sz w:val="18"/>
          <w:szCs w:val="18"/>
          <w:color w:val="auto"/>
        </w:rPr>
        <w:t>" means any deducton or withholding from any payment due under a Finance Document for or on account of any present or future tax except:</w:t>
      </w:r>
    </w:p>
    <w:p>
      <w:pPr>
        <w:spacing w:after="0" w:line="182" w:lineRule="exact"/>
        <w:rPr>
          <w:sz w:val="20"/>
          <w:szCs w:val="20"/>
          <w:color w:val="auto"/>
        </w:rPr>
      </w:pPr>
    </w:p>
    <w:p>
      <w:pPr>
        <w:ind w:left="580" w:hanging="580"/>
        <w:spacing w:after="0"/>
        <w:tabs>
          <w:tab w:leader="none" w:pos="580" w:val="left"/>
        </w:tabs>
        <w:numPr>
          <w:ilvl w:val="0"/>
          <w:numId w:val="375"/>
        </w:numPr>
        <w:rPr>
          <w:rFonts w:ascii="Calibri" w:cs="Calibri" w:eastAsia="Calibri" w:hAnsi="Calibri"/>
          <w:sz w:val="18"/>
          <w:szCs w:val="18"/>
          <w:color w:val="auto"/>
        </w:rPr>
      </w:pPr>
      <w:r>
        <w:rPr>
          <w:rFonts w:ascii="Calibri" w:cs="Calibri" w:eastAsia="Calibri" w:hAnsi="Calibri"/>
          <w:sz w:val="18"/>
          <w:szCs w:val="18"/>
          <w:color w:val="auto"/>
        </w:rPr>
        <w:t>tax on a Creditor Party's overall net income;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75"/>
        </w:numPr>
        <w:rPr>
          <w:rFonts w:ascii="Calibri" w:cs="Calibri" w:eastAsia="Calibri" w:hAnsi="Calibri"/>
          <w:sz w:val="18"/>
          <w:szCs w:val="18"/>
          <w:color w:val="auto"/>
        </w:rPr>
      </w:pPr>
      <w:r>
        <w:rPr>
          <w:rFonts w:ascii="Calibri" w:cs="Calibri" w:eastAsia="Calibri" w:hAnsi="Calibri"/>
          <w:sz w:val="18"/>
          <w:szCs w:val="18"/>
          <w:color w:val="auto"/>
        </w:rPr>
        <w:t>a FATCA Deducton.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22.5</w:t>
        <w:tab/>
        <w:t>FATCA Informaton</w:t>
      </w:r>
    </w:p>
    <w:p>
      <w:pPr>
        <w:spacing w:after="0" w:line="181" w:lineRule="exact"/>
        <w:rPr>
          <w:sz w:val="20"/>
          <w:szCs w:val="20"/>
          <w:color w:val="auto"/>
        </w:rPr>
      </w:pPr>
    </w:p>
    <w:p>
      <w:pPr>
        <w:ind w:left="580" w:hanging="580"/>
        <w:spacing w:after="0"/>
        <w:tabs>
          <w:tab w:leader="none" w:pos="580" w:val="left"/>
        </w:tabs>
        <w:numPr>
          <w:ilvl w:val="0"/>
          <w:numId w:val="376"/>
        </w:numPr>
        <w:rPr>
          <w:rFonts w:ascii="Calibri" w:cs="Calibri" w:eastAsia="Calibri" w:hAnsi="Calibri"/>
          <w:sz w:val="18"/>
          <w:szCs w:val="18"/>
          <w:color w:val="auto"/>
        </w:rPr>
      </w:pPr>
      <w:r>
        <w:rPr>
          <w:rFonts w:ascii="Calibri" w:cs="Calibri" w:eastAsia="Calibri" w:hAnsi="Calibri"/>
          <w:sz w:val="18"/>
          <w:szCs w:val="18"/>
          <w:color w:val="auto"/>
        </w:rPr>
        <w:t>Subject to paragraph (c) below, each Party shall, within ten Business Days of a reasonable request by another Party: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76"/>
        </w:numPr>
        <w:rPr>
          <w:rFonts w:ascii="Calibri" w:cs="Calibri" w:eastAsia="Calibri" w:hAnsi="Calibri"/>
          <w:sz w:val="18"/>
          <w:szCs w:val="18"/>
          <w:color w:val="auto"/>
        </w:rPr>
      </w:pPr>
      <w:r>
        <w:rPr>
          <w:rFonts w:ascii="Calibri" w:cs="Calibri" w:eastAsia="Calibri" w:hAnsi="Calibri"/>
          <w:sz w:val="18"/>
          <w:szCs w:val="18"/>
          <w:color w:val="auto"/>
        </w:rPr>
        <w:t>confrm to that other Party whether it is:</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376"/>
        </w:numPr>
        <w:rPr>
          <w:rFonts w:ascii="Calibri" w:cs="Calibri" w:eastAsia="Calibri" w:hAnsi="Calibri"/>
          <w:sz w:val="18"/>
          <w:szCs w:val="18"/>
          <w:color w:val="auto"/>
        </w:rPr>
      </w:pPr>
      <w:r>
        <w:rPr>
          <w:rFonts w:ascii="Calibri" w:cs="Calibri" w:eastAsia="Calibri" w:hAnsi="Calibri"/>
          <w:sz w:val="18"/>
          <w:szCs w:val="18"/>
          <w:color w:val="auto"/>
        </w:rPr>
        <w:t>a FATCA Exempt Party; or</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376"/>
        </w:numPr>
        <w:rPr>
          <w:rFonts w:ascii="Calibri" w:cs="Calibri" w:eastAsia="Calibri" w:hAnsi="Calibri"/>
          <w:sz w:val="18"/>
          <w:szCs w:val="18"/>
          <w:color w:val="auto"/>
        </w:rPr>
      </w:pPr>
      <w:r>
        <w:rPr>
          <w:rFonts w:ascii="Calibri" w:cs="Calibri" w:eastAsia="Calibri" w:hAnsi="Calibri"/>
          <w:sz w:val="18"/>
          <w:szCs w:val="18"/>
          <w:color w:val="auto"/>
        </w:rPr>
        <w:t>not a FATCA Exempt Party;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76"/>
        </w:numPr>
        <w:rPr>
          <w:rFonts w:ascii="Calibri" w:cs="Calibri" w:eastAsia="Calibri" w:hAnsi="Calibri"/>
          <w:sz w:val="18"/>
          <w:szCs w:val="18"/>
          <w:color w:val="auto"/>
        </w:rPr>
      </w:pPr>
      <w:r>
        <w:rPr>
          <w:rFonts w:ascii="Calibri" w:cs="Calibri" w:eastAsia="Calibri" w:hAnsi="Calibri"/>
          <w:sz w:val="18"/>
          <w:szCs w:val="18"/>
          <w:color w:val="auto"/>
        </w:rPr>
        <w:t>supply to that other Party such forms, documentaton and other informaton relatng to its status under FATCA as that other Party reasonably requests for the purposes of that other Party's compliance with FATCA;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76"/>
        </w:numPr>
        <w:rPr>
          <w:rFonts w:ascii="Calibri" w:cs="Calibri" w:eastAsia="Calibri" w:hAnsi="Calibri"/>
          <w:sz w:val="18"/>
          <w:szCs w:val="18"/>
          <w:color w:val="auto"/>
        </w:rPr>
      </w:pPr>
      <w:r>
        <w:rPr>
          <w:rFonts w:ascii="Calibri" w:cs="Calibri" w:eastAsia="Calibri" w:hAnsi="Calibri"/>
          <w:sz w:val="18"/>
          <w:szCs w:val="18"/>
          <w:color w:val="auto"/>
        </w:rPr>
        <w:t>supply to that other Party such forms, documentaton and other informaton relatng to its status as that other Party reasonably requests for the purposes of that other Party's compliance with any other law, regulaton or exchange of informaton regime.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76"/>
        </w:numPr>
        <w:rPr>
          <w:rFonts w:ascii="Calibri" w:cs="Calibri" w:eastAsia="Calibri" w:hAnsi="Calibri"/>
          <w:sz w:val="18"/>
          <w:szCs w:val="18"/>
          <w:color w:val="auto"/>
        </w:rPr>
      </w:pPr>
      <w:r>
        <w:rPr>
          <w:rFonts w:ascii="Calibri" w:cs="Calibri" w:eastAsia="Calibri" w:hAnsi="Calibri"/>
          <w:sz w:val="18"/>
          <w:szCs w:val="18"/>
          <w:color w:val="auto"/>
        </w:rPr>
        <w:t>If a Party confrms to another Party pursuant to sub-paragraph (i) of paragraph (a) above that it is a FATCA Exempt Party and it subsequently becomes aware that it is not, or has ceased to be a FATCA Exempt Party, that Party shall notfy that other Party reasonably promptly.</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76"/>
        </w:numPr>
        <w:rPr>
          <w:rFonts w:ascii="Calibri" w:cs="Calibri" w:eastAsia="Calibri" w:hAnsi="Calibri"/>
          <w:sz w:val="18"/>
          <w:szCs w:val="18"/>
          <w:color w:val="auto"/>
        </w:rPr>
      </w:pPr>
      <w:r>
        <w:rPr>
          <w:rFonts w:ascii="Calibri" w:cs="Calibri" w:eastAsia="Calibri" w:hAnsi="Calibri"/>
          <w:sz w:val="18"/>
          <w:szCs w:val="18"/>
          <w:color w:val="auto"/>
        </w:rPr>
        <w:t>Paragraph (a) above shall not oblige any Creditor Party to do anything and sub-paragraph (iii) of paragraph (a) above shall not oblige any other Party to do anything which would or might in its reasonable opinion consttute a breach of:</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27" w:name="page228"/>
    <w:bookmarkEnd w:id="227"/>
    <w:p>
      <w:pPr>
        <w:ind w:left="1180" w:hanging="591"/>
        <w:spacing w:after="0"/>
        <w:tabs>
          <w:tab w:leader="none" w:pos="1180" w:val="left"/>
        </w:tabs>
        <w:numPr>
          <w:ilvl w:val="1"/>
          <w:numId w:val="377"/>
        </w:numPr>
        <w:rPr>
          <w:rFonts w:ascii="Calibri" w:cs="Calibri" w:eastAsia="Calibri" w:hAnsi="Calibri"/>
          <w:sz w:val="18"/>
          <w:szCs w:val="18"/>
          <w:color w:val="auto"/>
        </w:rPr>
      </w:pPr>
      <w:r>
        <w:rPr>
          <w:rFonts w:ascii="Calibri" w:cs="Calibri" w:eastAsia="Calibri" w:hAnsi="Calibri"/>
          <w:sz w:val="18"/>
          <w:szCs w:val="18"/>
          <w:color w:val="auto"/>
        </w:rPr>
        <w:t>any law or regulaton;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77"/>
        </w:numPr>
        <w:rPr>
          <w:rFonts w:ascii="Calibri" w:cs="Calibri" w:eastAsia="Calibri" w:hAnsi="Calibri"/>
          <w:sz w:val="18"/>
          <w:szCs w:val="18"/>
          <w:color w:val="auto"/>
        </w:rPr>
      </w:pPr>
      <w:r>
        <w:rPr>
          <w:rFonts w:ascii="Calibri" w:cs="Calibri" w:eastAsia="Calibri" w:hAnsi="Calibri"/>
          <w:sz w:val="18"/>
          <w:szCs w:val="18"/>
          <w:color w:val="auto"/>
        </w:rPr>
        <w:t>any fduciary duty;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77"/>
        </w:numPr>
        <w:rPr>
          <w:rFonts w:ascii="Calibri" w:cs="Calibri" w:eastAsia="Calibri" w:hAnsi="Calibri"/>
          <w:sz w:val="18"/>
          <w:szCs w:val="18"/>
          <w:color w:val="auto"/>
        </w:rPr>
      </w:pPr>
      <w:r>
        <w:rPr>
          <w:rFonts w:ascii="Calibri" w:cs="Calibri" w:eastAsia="Calibri" w:hAnsi="Calibri"/>
          <w:sz w:val="18"/>
          <w:szCs w:val="18"/>
          <w:color w:val="auto"/>
        </w:rPr>
        <w:t>any duty of confdentality.</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78"/>
        </w:numPr>
        <w:rPr>
          <w:rFonts w:ascii="Calibri" w:cs="Calibri" w:eastAsia="Calibri" w:hAnsi="Calibri"/>
          <w:sz w:val="18"/>
          <w:szCs w:val="18"/>
          <w:color w:val="auto"/>
        </w:rPr>
      </w:pPr>
      <w:r>
        <w:rPr>
          <w:rFonts w:ascii="Calibri" w:cs="Calibri" w:eastAsia="Calibri" w:hAnsi="Calibri"/>
          <w:sz w:val="18"/>
          <w:szCs w:val="18"/>
          <w:color w:val="auto"/>
        </w:rPr>
        <w:t>If a Party fails to confrm whether or not it is a FATCA Exempt Party or to supply forms, documentaton or other informaton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untl such tme as the Party in queston provides the requested confrmaton, forms, documentaton or other informaton.</w:t>
      </w:r>
    </w:p>
    <w:p>
      <w:pPr>
        <w:spacing w:after="0" w:line="185"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78"/>
        </w:numPr>
        <w:rPr>
          <w:rFonts w:ascii="Calibri" w:cs="Calibri" w:eastAsia="Calibri" w:hAnsi="Calibri"/>
          <w:sz w:val="18"/>
          <w:szCs w:val="18"/>
          <w:color w:val="auto"/>
        </w:rPr>
      </w:pPr>
      <w:r>
        <w:rPr>
          <w:rFonts w:ascii="Calibri" w:cs="Calibri" w:eastAsia="Calibri" w:hAnsi="Calibri"/>
          <w:sz w:val="18"/>
          <w:szCs w:val="18"/>
          <w:color w:val="auto"/>
        </w:rPr>
        <w:t>If a Lender knows or has reason to know that the Borrower is a US Tax Obligor, or where the Agent reasonably believes that its obligatons under FATCA require it, each Lender shall, within ten Business Days of:</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78"/>
        </w:numPr>
        <w:rPr>
          <w:rFonts w:ascii="Calibri" w:cs="Calibri" w:eastAsia="Calibri" w:hAnsi="Calibri"/>
          <w:sz w:val="18"/>
          <w:szCs w:val="18"/>
          <w:color w:val="auto"/>
        </w:rPr>
      </w:pPr>
      <w:r>
        <w:rPr>
          <w:rFonts w:ascii="Calibri" w:cs="Calibri" w:eastAsia="Calibri" w:hAnsi="Calibri"/>
          <w:sz w:val="18"/>
          <w:szCs w:val="18"/>
          <w:color w:val="auto"/>
        </w:rPr>
        <w:t>where the Lender knows or has reason to know that the Borrower is a US Tax Obligor and the relevant Lender is a Party as at the date of this Agreement, the date of this Agreement;</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78"/>
        </w:numPr>
        <w:rPr>
          <w:rFonts w:ascii="Calibri" w:cs="Calibri" w:eastAsia="Calibri" w:hAnsi="Calibri"/>
          <w:sz w:val="18"/>
          <w:szCs w:val="18"/>
          <w:color w:val="auto"/>
        </w:rPr>
      </w:pPr>
      <w:r>
        <w:rPr>
          <w:rFonts w:ascii="Calibri" w:cs="Calibri" w:eastAsia="Calibri" w:hAnsi="Calibri"/>
          <w:sz w:val="18"/>
          <w:szCs w:val="18"/>
          <w:color w:val="auto"/>
        </w:rPr>
        <w:t>where the Lender knows or has reason to know that the Borrower is a US Tax Obligor and the relevant Lender became a Party afer the date of this Agreement, the date on which the relevant Transfer Certfcate became efectve;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78"/>
        </w:numPr>
        <w:rPr>
          <w:rFonts w:ascii="Calibri" w:cs="Calibri" w:eastAsia="Calibri" w:hAnsi="Calibri"/>
          <w:sz w:val="18"/>
          <w:szCs w:val="18"/>
          <w:color w:val="auto"/>
        </w:rPr>
      </w:pPr>
      <w:r>
        <w:rPr>
          <w:rFonts w:ascii="Calibri" w:cs="Calibri" w:eastAsia="Calibri" w:hAnsi="Calibri"/>
          <w:sz w:val="18"/>
          <w:szCs w:val="18"/>
          <w:color w:val="auto"/>
        </w:rPr>
        <w:t>the date of a request from the Agent,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supply to the Agent:</w:t>
      </w:r>
    </w:p>
    <w:p>
      <w:pPr>
        <w:spacing w:after="0" w:line="181" w:lineRule="exact"/>
        <w:rPr>
          <w:sz w:val="20"/>
          <w:szCs w:val="20"/>
          <w:color w:val="auto"/>
        </w:rPr>
      </w:pPr>
    </w:p>
    <w:p>
      <w:pPr>
        <w:ind w:left="1180" w:hanging="591"/>
        <w:spacing w:after="0"/>
        <w:tabs>
          <w:tab w:leader="none" w:pos="1180" w:val="left"/>
        </w:tabs>
        <w:numPr>
          <w:ilvl w:val="0"/>
          <w:numId w:val="379"/>
        </w:numPr>
        <w:rPr>
          <w:rFonts w:ascii="Calibri" w:cs="Calibri" w:eastAsia="Calibri" w:hAnsi="Calibri"/>
          <w:sz w:val="18"/>
          <w:szCs w:val="18"/>
          <w:color w:val="auto"/>
        </w:rPr>
      </w:pPr>
      <w:r>
        <w:rPr>
          <w:rFonts w:ascii="Calibri" w:cs="Calibri" w:eastAsia="Calibri" w:hAnsi="Calibri"/>
          <w:sz w:val="18"/>
          <w:szCs w:val="18"/>
          <w:color w:val="auto"/>
        </w:rPr>
        <w:t>a withholding certfcate on US Internal Revenue Service Form W-8 or Form W-9 (or any successor form) (as applicable);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0"/>
          <w:numId w:val="379"/>
        </w:numPr>
        <w:rPr>
          <w:rFonts w:ascii="Calibri" w:cs="Calibri" w:eastAsia="Calibri" w:hAnsi="Calibri"/>
          <w:sz w:val="18"/>
          <w:szCs w:val="18"/>
          <w:color w:val="auto"/>
        </w:rPr>
      </w:pPr>
      <w:r>
        <w:rPr>
          <w:rFonts w:ascii="Calibri" w:cs="Calibri" w:eastAsia="Calibri" w:hAnsi="Calibri"/>
          <w:sz w:val="18"/>
          <w:szCs w:val="18"/>
          <w:color w:val="auto"/>
        </w:rPr>
        <w:t>any withholding statement and other documentaton, authorisatons and waivers as the Agent may require to certfy or establish the status of such Lender under FATCA.</w:t>
      </w:r>
    </w:p>
    <w:p>
      <w:pPr>
        <w:spacing w:after="0" w:line="184"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Agent shall provide any withholding certfcate, withholding statement, documentaton, authorisatons and waivers it receives from a Lender pursuant to this paragraph (e) to the Borrower, to the extent required for compliance with FATCA or any other law or regulaton, and shall be enttled to rely on any such withholding certfcate, withholding statement, documentaton, authorisatons and waivers provided without further verifcaton. The Agent shall not be liable for any acton taken by it under or in connecton with this paragraph (e).</w:t>
      </w:r>
    </w:p>
    <w:p>
      <w:pPr>
        <w:spacing w:after="0" w:line="185" w:lineRule="exact"/>
        <w:rPr>
          <w:sz w:val="20"/>
          <w:szCs w:val="20"/>
          <w:color w:val="auto"/>
        </w:rPr>
      </w:pPr>
    </w:p>
    <w:p>
      <w:pPr>
        <w:jc w:val="both"/>
        <w:ind w:left="580" w:hanging="580"/>
        <w:spacing w:after="0" w:line="222" w:lineRule="auto"/>
        <w:tabs>
          <w:tab w:leader="none" w:pos="580" w:val="left"/>
        </w:tabs>
        <w:numPr>
          <w:ilvl w:val="0"/>
          <w:numId w:val="380"/>
        </w:numPr>
        <w:rPr>
          <w:rFonts w:ascii="Calibri" w:cs="Calibri" w:eastAsia="Calibri" w:hAnsi="Calibri"/>
          <w:sz w:val="18"/>
          <w:szCs w:val="18"/>
          <w:color w:val="auto"/>
        </w:rPr>
      </w:pPr>
      <w:r>
        <w:rPr>
          <w:rFonts w:ascii="Calibri" w:cs="Calibri" w:eastAsia="Calibri" w:hAnsi="Calibri"/>
          <w:sz w:val="18"/>
          <w:szCs w:val="18"/>
          <w:color w:val="auto"/>
        </w:rPr>
        <w:t>Each Lender agrees that if any withholding certfcate, withholding statement, documentaton, authorisatons and waivers provided to the Agent pursuant to paragraph (e) above is or becomes materially inaccurate or incomplete, it shall promptly update such withholding certfcate, withholding statement, documentaton, authorisatons and waivers or promptly notfy the Agent in writng of its legal inability to do so. The Agent shall provide any such updated withholding certfcate, withholding statement, documentaton, authorisatons and waivers to the Borrower, to the extent required for compliance with FATCA or any other law or regulaton. The Agent shall not be liable for any acton taken by it under or in connecton with this paragraph (f).</w:t>
      </w:r>
    </w:p>
    <w:p>
      <w:pPr>
        <w:spacing w:after="0" w:line="183" w:lineRule="exact"/>
        <w:rPr>
          <w:sz w:val="20"/>
          <w:szCs w:val="20"/>
          <w:color w:val="auto"/>
        </w:rPr>
      </w:pPr>
    </w:p>
    <w:p>
      <w:pPr>
        <w:jc w:val="both"/>
        <w:ind w:left="5540"/>
        <w:spacing w:after="0"/>
        <w:tabs>
          <w:tab w:leader="none" w:pos="9919"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28" w:name="page229"/>
    <w:bookmarkEnd w:id="228"/>
    <w:p>
      <w:pPr>
        <w:spacing w:after="0"/>
        <w:tabs>
          <w:tab w:leader="none" w:pos="560" w:val="left"/>
        </w:tabs>
        <w:rPr>
          <w:sz w:val="20"/>
          <w:szCs w:val="20"/>
          <w:color w:val="auto"/>
        </w:rPr>
      </w:pPr>
      <w:r>
        <w:rPr>
          <w:rFonts w:ascii="Calibri" w:cs="Calibri" w:eastAsia="Calibri" w:hAnsi="Calibri"/>
          <w:sz w:val="18"/>
          <w:szCs w:val="18"/>
          <w:b w:val="1"/>
          <w:bCs w:val="1"/>
          <w:color w:val="auto"/>
        </w:rPr>
        <w:t>22.6</w:t>
        <w:tab/>
        <w:t>FATCA Deducton</w:t>
      </w:r>
    </w:p>
    <w:p>
      <w:pPr>
        <w:spacing w:after="0" w:line="183" w:lineRule="exact"/>
        <w:rPr>
          <w:sz w:val="20"/>
          <w:szCs w:val="20"/>
          <w:color w:val="auto"/>
        </w:rPr>
      </w:pPr>
    </w:p>
    <w:p>
      <w:pPr>
        <w:jc w:val="both"/>
        <w:ind w:left="580" w:hanging="580"/>
        <w:spacing w:after="0" w:line="225" w:lineRule="auto"/>
        <w:tabs>
          <w:tab w:leader="none" w:pos="580" w:val="left"/>
        </w:tabs>
        <w:numPr>
          <w:ilvl w:val="0"/>
          <w:numId w:val="381"/>
        </w:numPr>
        <w:rPr>
          <w:rFonts w:ascii="Calibri" w:cs="Calibri" w:eastAsia="Calibri" w:hAnsi="Calibri"/>
          <w:sz w:val="18"/>
          <w:szCs w:val="18"/>
          <w:color w:val="auto"/>
        </w:rPr>
      </w:pPr>
      <w:r>
        <w:rPr>
          <w:rFonts w:ascii="Calibri" w:cs="Calibri" w:eastAsia="Calibri" w:hAnsi="Calibri"/>
          <w:sz w:val="18"/>
          <w:szCs w:val="18"/>
          <w:color w:val="auto"/>
        </w:rPr>
        <w:t>Each Party may make any FATCA Deducton as it reasonably determines it is required to make by FATCA, and any payment required in connecton with that FATCA Deducton, and no Party shall be required to increase any payment in respect of which it makes such a FATCA Deducton or otherwise compensate the recipient of the payment for that FATCA Deducton.</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81"/>
        </w:numPr>
        <w:rPr>
          <w:rFonts w:ascii="Calibri" w:cs="Calibri" w:eastAsia="Calibri" w:hAnsi="Calibri"/>
          <w:sz w:val="18"/>
          <w:szCs w:val="18"/>
          <w:color w:val="auto"/>
        </w:rPr>
      </w:pPr>
      <w:r>
        <w:rPr>
          <w:rFonts w:ascii="Calibri" w:cs="Calibri" w:eastAsia="Calibri" w:hAnsi="Calibri"/>
          <w:sz w:val="18"/>
          <w:szCs w:val="18"/>
          <w:color w:val="auto"/>
        </w:rPr>
        <w:t>Each Party shall promptly, upon becoming aware that it must make a FATCA Deducton (or that there is any change in the rate or the basis of such FATCA Deducton), notfy the Party to whom it is making the payment and, in additon, shall notfy the Borrower and the Agent and the Agent shall notfy the other Creditor Partes.</w:t>
      </w:r>
    </w:p>
    <w:p>
      <w:pPr>
        <w:spacing w:after="0" w:line="182" w:lineRule="exact"/>
        <w:rPr>
          <w:sz w:val="20"/>
          <w:szCs w:val="20"/>
          <w:color w:val="auto"/>
        </w:rPr>
      </w:pPr>
    </w:p>
    <w:p>
      <w:pPr>
        <w:ind w:left="580" w:hanging="580"/>
        <w:spacing w:after="0"/>
        <w:tabs>
          <w:tab w:leader="none" w:pos="580" w:val="left"/>
        </w:tabs>
        <w:numPr>
          <w:ilvl w:val="0"/>
          <w:numId w:val="38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ILLEGALITY, ETC.</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Illegality</w:t>
      </w:r>
    </w:p>
    <w:p>
      <w:pPr>
        <w:spacing w:after="0" w:line="18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This Clause 22.4 applies if a Lender (the "</w:t>
      </w:r>
      <w:r>
        <w:rPr>
          <w:rFonts w:ascii="Calibri" w:cs="Calibri" w:eastAsia="Calibri" w:hAnsi="Calibri"/>
          <w:sz w:val="18"/>
          <w:szCs w:val="18"/>
          <w:b w:val="1"/>
          <w:bCs w:val="1"/>
          <w:color w:val="auto"/>
        </w:rPr>
        <w:t>Notfying Lender</w:t>
      </w:r>
      <w:r>
        <w:rPr>
          <w:rFonts w:ascii="Calibri" w:cs="Calibri" w:eastAsia="Calibri" w:hAnsi="Calibri"/>
          <w:sz w:val="18"/>
          <w:szCs w:val="18"/>
          <w:color w:val="auto"/>
        </w:rPr>
        <w:t>") notfes the Agent that it has become, or will with efect from a specifed date, become:</w:t>
      </w:r>
    </w:p>
    <w:p>
      <w:pPr>
        <w:spacing w:after="0" w:line="381" w:lineRule="exact"/>
        <w:rPr>
          <w:sz w:val="20"/>
          <w:szCs w:val="20"/>
          <w:color w:val="auto"/>
        </w:rPr>
      </w:pPr>
    </w:p>
    <w:p>
      <w:pPr>
        <w:ind w:left="580" w:hanging="580"/>
        <w:spacing w:after="0" w:line="228" w:lineRule="auto"/>
        <w:tabs>
          <w:tab w:leader="none" w:pos="580" w:val="left"/>
        </w:tabs>
        <w:numPr>
          <w:ilvl w:val="0"/>
          <w:numId w:val="384"/>
        </w:numPr>
        <w:rPr>
          <w:rFonts w:ascii="Calibri" w:cs="Calibri" w:eastAsia="Calibri" w:hAnsi="Calibri"/>
          <w:sz w:val="18"/>
          <w:szCs w:val="18"/>
          <w:color w:val="auto"/>
        </w:rPr>
      </w:pPr>
      <w:r>
        <w:rPr>
          <w:rFonts w:ascii="Calibri" w:cs="Calibri" w:eastAsia="Calibri" w:hAnsi="Calibri"/>
          <w:sz w:val="18"/>
          <w:szCs w:val="18"/>
          <w:color w:val="auto"/>
        </w:rPr>
        <w:t>unlawful or prohibited as a result of the introducton of a new law, an amendment to an existng law or a change in the manner in which an existng law is or will be interpreted or applied;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84"/>
        </w:numPr>
        <w:rPr>
          <w:rFonts w:ascii="Calibri" w:cs="Calibri" w:eastAsia="Calibri" w:hAnsi="Calibri"/>
          <w:sz w:val="18"/>
          <w:szCs w:val="18"/>
          <w:color w:val="auto"/>
        </w:rPr>
      </w:pPr>
      <w:r>
        <w:rPr>
          <w:rFonts w:ascii="Calibri" w:cs="Calibri" w:eastAsia="Calibri" w:hAnsi="Calibri"/>
          <w:sz w:val="18"/>
          <w:szCs w:val="18"/>
          <w:color w:val="auto"/>
        </w:rPr>
        <w:t>contrary to, or inconsistent with, any regulaton,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for the Notfying Lender to perform, maintain or give efect to any of its obligatons under this Agreement in the manner contemplated by this Agreement or to fund or maintain the Loan.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23.2</w:t>
        <w:tab/>
        <w:t>Notfcaton of illegality</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Agent shall promptly notfy the Borrower, the Security Partes, the Security Trustee and the other Lenders of the notce under Clause 23.1 which the Agent receives from the Notfying Lender.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23.3</w:t>
        <w:tab/>
        <w:t>Prepayment; terminaton of Commitment</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On the Agent notfying the Borrower under Clause 23.2, the Notfying Lender's Commitment shall be immediately cancelled; and thereupon or, if later, on the date specifed in the Notfying Lender's notce under Clause 23.1 as the date on which the notfed event would become efectve the Borrower shall prepay the Notfying Lender's Contributon on the last day of the then current Interest Period in accordance with Clauses 8.11 and 8.12.</w:t>
      </w:r>
    </w:p>
    <w:p>
      <w:pPr>
        <w:spacing w:after="0" w:line="183" w:lineRule="exact"/>
        <w:rPr>
          <w:sz w:val="20"/>
          <w:szCs w:val="20"/>
          <w:color w:val="auto"/>
        </w:rPr>
      </w:pPr>
    </w:p>
    <w:p>
      <w:pPr>
        <w:ind w:left="580" w:hanging="580"/>
        <w:spacing w:after="0"/>
        <w:tabs>
          <w:tab w:leader="none" w:pos="580" w:val="left"/>
        </w:tabs>
        <w:numPr>
          <w:ilvl w:val="0"/>
          <w:numId w:val="38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INCREASED COSTS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8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Increased costs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This Clause 24 applies if a Lender (the "</w:t>
      </w:r>
      <w:r>
        <w:rPr>
          <w:rFonts w:ascii="Calibri" w:cs="Calibri" w:eastAsia="Calibri" w:hAnsi="Calibri"/>
          <w:sz w:val="18"/>
          <w:szCs w:val="18"/>
          <w:b w:val="1"/>
          <w:bCs w:val="1"/>
          <w:color w:val="auto"/>
        </w:rPr>
        <w:t>Notfying Lender</w:t>
      </w:r>
      <w:r>
        <w:rPr>
          <w:rFonts w:ascii="Calibri" w:cs="Calibri" w:eastAsia="Calibri" w:hAnsi="Calibri"/>
          <w:sz w:val="18"/>
          <w:szCs w:val="18"/>
          <w:color w:val="auto"/>
        </w:rPr>
        <w:t>") notfes the Agent that the Notfying Lender considers that as a result of:</w:t>
      </w:r>
    </w:p>
    <w:p>
      <w:pPr>
        <w:spacing w:after="0" w:line="183" w:lineRule="exact"/>
        <w:rPr>
          <w:sz w:val="20"/>
          <w:szCs w:val="20"/>
          <w:color w:val="auto"/>
        </w:rPr>
      </w:pPr>
    </w:p>
    <w:p>
      <w:pPr>
        <w:jc w:val="both"/>
        <w:ind w:left="580" w:hanging="580"/>
        <w:spacing w:after="0" w:line="225" w:lineRule="auto"/>
        <w:tabs>
          <w:tab w:leader="none" w:pos="580" w:val="left"/>
        </w:tabs>
        <w:numPr>
          <w:ilvl w:val="0"/>
          <w:numId w:val="387"/>
        </w:numPr>
        <w:rPr>
          <w:rFonts w:ascii="Calibri" w:cs="Calibri" w:eastAsia="Calibri" w:hAnsi="Calibri"/>
          <w:sz w:val="18"/>
          <w:szCs w:val="18"/>
          <w:color w:val="auto"/>
        </w:rPr>
      </w:pPr>
      <w:r>
        <w:rPr>
          <w:rFonts w:ascii="Calibri" w:cs="Calibri" w:eastAsia="Calibri" w:hAnsi="Calibri"/>
          <w:sz w:val="18"/>
          <w:szCs w:val="18"/>
          <w:color w:val="auto"/>
        </w:rPr>
        <w:t>the introducton or alteraton afer the date of this Agreement of a law or an alteraton afer the date of this Agreement in the manner in which a law is interpreted or applied (disregarding any efect which relates to the applicaton to payments under this Agreement of a tax on the Lender's overall net income); or</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29" w:name="page230"/>
    <w:bookmarkEnd w:id="229"/>
    <w:p>
      <w:pPr>
        <w:jc w:val="both"/>
        <w:ind w:left="580" w:hanging="580"/>
        <w:spacing w:after="0" w:line="225" w:lineRule="auto"/>
        <w:tabs>
          <w:tab w:leader="none" w:pos="580" w:val="left"/>
        </w:tabs>
        <w:numPr>
          <w:ilvl w:val="0"/>
          <w:numId w:val="388"/>
        </w:numPr>
        <w:rPr>
          <w:rFonts w:ascii="Calibri" w:cs="Calibri" w:eastAsia="Calibri" w:hAnsi="Calibri"/>
          <w:sz w:val="18"/>
          <w:szCs w:val="18"/>
          <w:color w:val="auto"/>
        </w:rPr>
      </w:pPr>
      <w:r>
        <w:rPr>
          <w:rFonts w:ascii="Calibri" w:cs="Calibri" w:eastAsia="Calibri" w:hAnsi="Calibri"/>
          <w:sz w:val="18"/>
          <w:szCs w:val="18"/>
          <w:color w:val="auto"/>
        </w:rPr>
        <w:t>complying with any regulaton (including any which relates to capital adequacy or liquidity controls or which afects the manner in which the Notfying Lender allocates capital resources to its obligatons under this Agreement) which is introduced, or altered, or the interpretaton or applicaton of which is altered, afer the date of this Agreement; or</w:t>
      </w:r>
    </w:p>
    <w:p>
      <w:pPr>
        <w:spacing w:after="0" w:line="183" w:lineRule="exact"/>
        <w:rPr>
          <w:rFonts w:ascii="Calibri" w:cs="Calibri" w:eastAsia="Calibri" w:hAnsi="Calibri"/>
          <w:sz w:val="18"/>
          <w:szCs w:val="18"/>
          <w:color w:val="auto"/>
        </w:rPr>
      </w:pPr>
    </w:p>
    <w:p>
      <w:pPr>
        <w:jc w:val="both"/>
        <w:ind w:left="580" w:hanging="580"/>
        <w:spacing w:after="0" w:line="222" w:lineRule="auto"/>
        <w:tabs>
          <w:tab w:leader="none" w:pos="580" w:val="left"/>
        </w:tabs>
        <w:numPr>
          <w:ilvl w:val="0"/>
          <w:numId w:val="388"/>
        </w:numPr>
        <w:rPr>
          <w:rFonts w:ascii="Calibri" w:cs="Calibri" w:eastAsia="Calibri" w:hAnsi="Calibri"/>
          <w:sz w:val="18"/>
          <w:szCs w:val="18"/>
          <w:color w:val="auto"/>
        </w:rPr>
      </w:pPr>
      <w:r>
        <w:rPr>
          <w:rFonts w:ascii="Calibri" w:cs="Calibri" w:eastAsia="Calibri" w:hAnsi="Calibri"/>
          <w:sz w:val="18"/>
          <w:szCs w:val="18"/>
          <w:color w:val="auto"/>
        </w:rPr>
        <w:t>the implementaton or applicaton of or compliance with the "Internatonal Convergence of Capital Measurement and Capital Standards, a Revised Framework" published by the Basel Commitee on Banking Supervision in June 2004 in the form existng on the date of this Agreement (the "</w:t>
      </w:r>
      <w:r>
        <w:rPr>
          <w:rFonts w:ascii="Calibri" w:cs="Calibri" w:eastAsia="Calibri" w:hAnsi="Calibri"/>
          <w:sz w:val="18"/>
          <w:szCs w:val="18"/>
          <w:b w:val="1"/>
          <w:bCs w:val="1"/>
          <w:color w:val="auto"/>
        </w:rPr>
        <w:t>Basel II Accord</w:t>
      </w:r>
      <w:r>
        <w:rPr>
          <w:rFonts w:ascii="Calibri" w:cs="Calibri" w:eastAsia="Calibri" w:hAnsi="Calibri"/>
          <w:sz w:val="18"/>
          <w:szCs w:val="18"/>
          <w:color w:val="auto"/>
        </w:rPr>
        <w:t>") or any other law or regulaton implementng the Basel II Accord or any of the approaches provided for and allowed to be used by banks under or in connecton with the Basel II Accord, in each case when compared to the cost of complying with such regulatons as determined by the Agent (or parent company of it) on the date of this Agreement (whether such implementaton, applicaton or compliance is by a government, regulator, supervisory authority, the Notfying Lender or its holding company); or</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88"/>
        </w:numPr>
        <w:rPr>
          <w:rFonts w:ascii="Calibri" w:cs="Calibri" w:eastAsia="Calibri" w:hAnsi="Calibri"/>
          <w:sz w:val="18"/>
          <w:szCs w:val="18"/>
          <w:color w:val="auto"/>
        </w:rPr>
      </w:pPr>
      <w:r>
        <w:rPr>
          <w:rFonts w:ascii="Calibri" w:cs="Calibri" w:eastAsia="Calibri" w:hAnsi="Calibri"/>
          <w:sz w:val="18"/>
          <w:szCs w:val="18"/>
          <w:color w:val="auto"/>
        </w:rPr>
        <w:t>the implementaton or applicaton of or compliance with Basel III or any law or regulaton which implements or applies Basel III (regardless of the date on which it is enacted, adopted or issued and regardless of whether any such implementaton, applicaton or compliance is by a government, regulator, the Notfying Lender or any of its afliates),</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the Notfying Lender (or a parent company of it) has incurred or will incur an "</w:t>
      </w:r>
      <w:r>
        <w:rPr>
          <w:rFonts w:ascii="Calibri" w:cs="Calibri" w:eastAsia="Calibri" w:hAnsi="Calibri"/>
          <w:sz w:val="18"/>
          <w:szCs w:val="18"/>
          <w:b w:val="1"/>
          <w:bCs w:val="1"/>
          <w:color w:val="auto"/>
        </w:rPr>
        <w:t>increased cost</w:t>
      </w:r>
      <w:r>
        <w:rPr>
          <w:rFonts w:ascii="Calibri" w:cs="Calibri" w:eastAsia="Calibri" w:hAnsi="Calibri"/>
          <w:sz w:val="18"/>
          <w:szCs w:val="18"/>
          <w:color w:val="auto"/>
        </w:rPr>
        <w: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24.2</w:t>
        <w:tab/>
        <w:t>Meaning of "increased cost"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this Clause 24, "</w:t>
      </w:r>
      <w:r>
        <w:rPr>
          <w:rFonts w:ascii="Calibri" w:cs="Calibri" w:eastAsia="Calibri" w:hAnsi="Calibri"/>
          <w:sz w:val="18"/>
          <w:szCs w:val="18"/>
          <w:b w:val="1"/>
          <w:bCs w:val="1"/>
          <w:color w:val="auto"/>
        </w:rPr>
        <w:t>increased cost</w:t>
      </w:r>
      <w:r>
        <w:rPr>
          <w:rFonts w:ascii="Calibri" w:cs="Calibri" w:eastAsia="Calibri" w:hAnsi="Calibri"/>
          <w:sz w:val="18"/>
          <w:szCs w:val="18"/>
          <w:color w:val="auto"/>
        </w:rPr>
        <w:t>" means, in relaton to a Notfying Lender:</w:t>
      </w:r>
    </w:p>
    <w:p>
      <w:pPr>
        <w:spacing w:after="0" w:line="183" w:lineRule="exact"/>
        <w:rPr>
          <w:sz w:val="20"/>
          <w:szCs w:val="20"/>
          <w:color w:val="auto"/>
        </w:rPr>
      </w:pPr>
    </w:p>
    <w:p>
      <w:pPr>
        <w:jc w:val="both"/>
        <w:ind w:left="580" w:hanging="580"/>
        <w:spacing w:after="0" w:line="225" w:lineRule="auto"/>
        <w:tabs>
          <w:tab w:leader="none" w:pos="580" w:val="left"/>
        </w:tabs>
        <w:numPr>
          <w:ilvl w:val="0"/>
          <w:numId w:val="389"/>
        </w:numPr>
        <w:rPr>
          <w:rFonts w:ascii="Calibri" w:cs="Calibri" w:eastAsia="Calibri" w:hAnsi="Calibri"/>
          <w:sz w:val="18"/>
          <w:szCs w:val="18"/>
          <w:color w:val="auto"/>
        </w:rPr>
      </w:pPr>
      <w:r>
        <w:rPr>
          <w:rFonts w:ascii="Calibri" w:cs="Calibri" w:eastAsia="Calibri" w:hAnsi="Calibri"/>
          <w:sz w:val="18"/>
          <w:szCs w:val="18"/>
          <w:color w:val="auto"/>
        </w:rPr>
        <w:t>an additonal or increased cost incurred as a result of, or in connecton with, the Notfying Lender having entered into, or being a party to, this Agreement or a Transfer Certfcate, of funding or maintaining its Commitment or Contributon or performing its obligatons under this Agreement, or of having outstanding all or any part of its Contributon or other unpaid sums;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89"/>
        </w:numPr>
        <w:rPr>
          <w:rFonts w:ascii="Calibri" w:cs="Calibri" w:eastAsia="Calibri" w:hAnsi="Calibri"/>
          <w:sz w:val="18"/>
          <w:szCs w:val="18"/>
          <w:color w:val="auto"/>
        </w:rPr>
      </w:pPr>
      <w:r>
        <w:rPr>
          <w:rFonts w:ascii="Calibri" w:cs="Calibri" w:eastAsia="Calibri" w:hAnsi="Calibri"/>
          <w:sz w:val="18"/>
          <w:szCs w:val="18"/>
          <w:color w:val="auto"/>
        </w:rPr>
        <w:t>a reducton in the amount of any payment to the Notfying Lender under this Agreement or in the efectve return which such a payment represents to the Notfying Lender or on its capital;</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89"/>
        </w:numPr>
        <w:rPr>
          <w:rFonts w:ascii="Calibri" w:cs="Calibri" w:eastAsia="Calibri" w:hAnsi="Calibri"/>
          <w:sz w:val="18"/>
          <w:szCs w:val="18"/>
          <w:color w:val="auto"/>
        </w:rPr>
      </w:pPr>
      <w:r>
        <w:rPr>
          <w:rFonts w:ascii="Calibri" w:cs="Calibri" w:eastAsia="Calibri" w:hAnsi="Calibri"/>
          <w:sz w:val="18"/>
          <w:szCs w:val="18"/>
          <w:color w:val="auto"/>
        </w:rPr>
        <w:t>an additonal or increased cost of funding all or maintaining all or any of the advances comprised in a class of advances formed by or including the Notfying Lender's Contributon or (as the case may require) the proporton of that cost atributable to the Contributon;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89"/>
        </w:numPr>
        <w:rPr>
          <w:rFonts w:ascii="Calibri" w:cs="Calibri" w:eastAsia="Calibri" w:hAnsi="Calibri"/>
          <w:sz w:val="18"/>
          <w:szCs w:val="18"/>
          <w:color w:val="auto"/>
        </w:rPr>
      </w:pPr>
      <w:r>
        <w:rPr>
          <w:rFonts w:ascii="Calibri" w:cs="Calibri" w:eastAsia="Calibri" w:hAnsi="Calibri"/>
          <w:sz w:val="18"/>
          <w:szCs w:val="18"/>
          <w:color w:val="auto"/>
        </w:rPr>
        <w:t>a liability to make a payment, or a return foregone, which is calculated by reference to any amounts received or receivable by the Notfying Lender under this Agreement,</w:t>
      </w:r>
    </w:p>
    <w:p>
      <w:pPr>
        <w:spacing w:after="0" w:line="183"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but not an item atributable to a change in the rate of tax on the overall net income of the Notfying Lender (or a parent company of it) or an item covered by the indemnity for tax in Clause 21.1 or by Clause 22 or a FATCA Deducton required to be made by a Party.</w:t>
      </w:r>
    </w:p>
    <w:p>
      <w:pPr>
        <w:spacing w:after="0" w:line="184"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For the purposes of this Clause 24.2 the Notfying Lender may in good faith allocate or spread costs and/or losses among its assets and liabilites (or any class of its assets and liabilites) on such basis as it considers appropriate.</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30" w:name="page231"/>
    <w:bookmarkEnd w:id="230"/>
    <w:p>
      <w:pPr>
        <w:spacing w:after="0"/>
        <w:tabs>
          <w:tab w:leader="none" w:pos="560" w:val="left"/>
        </w:tabs>
        <w:rPr>
          <w:sz w:val="20"/>
          <w:szCs w:val="20"/>
          <w:color w:val="auto"/>
        </w:rPr>
      </w:pPr>
      <w:r>
        <w:rPr>
          <w:rFonts w:ascii="Calibri" w:cs="Calibri" w:eastAsia="Calibri" w:hAnsi="Calibri"/>
          <w:sz w:val="18"/>
          <w:szCs w:val="18"/>
          <w:b w:val="1"/>
          <w:bCs w:val="1"/>
          <w:color w:val="auto"/>
        </w:rPr>
        <w:t>24.3</w:t>
        <w:tab/>
        <w:t>Notfcaton to Borrower of claim for increased costs</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Agent shall promptly notfy the Borrower and the Security Partes of the notce which the Agent received from the Notfying Lender under Clause 24.1</w:t>
      </w:r>
      <w:r>
        <w:rPr>
          <w:rFonts w:ascii="Calibri" w:cs="Calibri" w:eastAsia="Calibri" w:hAnsi="Calibri"/>
          <w:sz w:val="18"/>
          <w:szCs w:val="18"/>
          <w:i w:val="1"/>
          <w:iCs w:val="1"/>
          <w:color w:val="auto"/>
        </w:rPr>
        <w: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24.4</w:t>
        <w:tab/>
        <w:t>Payment of increased costs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shall pay to the Agent within 5 Business Days afer the Agent's demand, for the account of the Notfying Lender the amounts which the Agent from tme to tme notfes the Borrower that the Notfying Lender has specifed to be necessary to compensate the Notfying Lender for the increased cost.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24.5</w:t>
        <w:tab/>
        <w:t>Notce of prepayment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If the Borrower is not willing to contnue to compensate the Notfying Lender for the increased cost under Clause 24.4 (</w:t>
      </w:r>
      <w:r>
        <w:rPr>
          <w:rFonts w:ascii="Calibri" w:cs="Calibri" w:eastAsia="Calibri" w:hAnsi="Calibri"/>
          <w:sz w:val="18"/>
          <w:szCs w:val="18"/>
          <w:i w:val="1"/>
          <w:iCs w:val="1"/>
          <w:color w:val="auto"/>
        </w:rPr>
        <w:t>Payment of</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increased costs</w:t>
      </w:r>
      <w:r>
        <w:rPr>
          <w:rFonts w:ascii="Calibri" w:cs="Calibri" w:eastAsia="Calibri" w:hAnsi="Calibri"/>
          <w:sz w:val="18"/>
          <w:szCs w:val="18"/>
          <w:color w:val="auto"/>
        </w:rPr>
        <w:t>), the Borrower may give the Agent not less than 14 days' notce of their intenton to prepay the Notfying Lender's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Contributon at the end of an Interest Period.</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24.6</w:t>
        <w:tab/>
        <w:t>Prepayment; terminaton of Commitment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notce under Clause 24.5 (</w:t>
      </w:r>
      <w:r>
        <w:rPr>
          <w:rFonts w:ascii="Calibri" w:cs="Calibri" w:eastAsia="Calibri" w:hAnsi="Calibri"/>
          <w:sz w:val="18"/>
          <w:szCs w:val="18"/>
          <w:i w:val="1"/>
          <w:iCs w:val="1"/>
          <w:color w:val="auto"/>
        </w:rPr>
        <w:t>Notce of prepayment</w:t>
      </w:r>
      <w:r>
        <w:rPr>
          <w:rFonts w:ascii="Calibri" w:cs="Calibri" w:eastAsia="Calibri" w:hAnsi="Calibri"/>
          <w:sz w:val="18"/>
          <w:szCs w:val="18"/>
          <w:color w:val="auto"/>
        </w:rPr>
        <w:t>) shall be irrevocable; the Agent shall promptly notfy the Notfying Lender of the</w:t>
      </w:r>
    </w:p>
    <w:p>
      <w:pPr>
        <w:ind w:left="600"/>
        <w:spacing w:after="0" w:line="218" w:lineRule="auto"/>
        <w:rPr>
          <w:sz w:val="20"/>
          <w:szCs w:val="20"/>
          <w:color w:val="auto"/>
        </w:rPr>
      </w:pPr>
      <w:r>
        <w:rPr>
          <w:rFonts w:ascii="Calibri" w:cs="Calibri" w:eastAsia="Calibri" w:hAnsi="Calibri"/>
          <w:sz w:val="18"/>
          <w:szCs w:val="18"/>
          <w:color w:val="auto"/>
        </w:rPr>
        <w:t>Borrower's notce of intended prepayment; and:</w:t>
      </w:r>
    </w:p>
    <w:p>
      <w:pPr>
        <w:spacing w:after="0" w:line="182" w:lineRule="exact"/>
        <w:rPr>
          <w:sz w:val="20"/>
          <w:szCs w:val="20"/>
          <w:color w:val="auto"/>
        </w:rPr>
      </w:pPr>
    </w:p>
    <w:p>
      <w:pPr>
        <w:ind w:left="580" w:hanging="580"/>
        <w:spacing w:after="0"/>
        <w:tabs>
          <w:tab w:leader="none" w:pos="580" w:val="left"/>
        </w:tabs>
        <w:numPr>
          <w:ilvl w:val="0"/>
          <w:numId w:val="390"/>
        </w:numPr>
        <w:rPr>
          <w:rFonts w:ascii="Calibri" w:cs="Calibri" w:eastAsia="Calibri" w:hAnsi="Calibri"/>
          <w:sz w:val="18"/>
          <w:szCs w:val="18"/>
          <w:color w:val="auto"/>
        </w:rPr>
      </w:pPr>
      <w:r>
        <w:rPr>
          <w:rFonts w:ascii="Calibri" w:cs="Calibri" w:eastAsia="Calibri" w:hAnsi="Calibri"/>
          <w:sz w:val="18"/>
          <w:szCs w:val="18"/>
          <w:color w:val="auto"/>
        </w:rPr>
        <w:t>on the date on which the Agent serves that notce, the Commitment of the Notfying Lender shall be cancelled;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90"/>
        </w:numPr>
        <w:rPr>
          <w:rFonts w:ascii="Calibri" w:cs="Calibri" w:eastAsia="Calibri" w:hAnsi="Calibri"/>
          <w:sz w:val="18"/>
          <w:szCs w:val="18"/>
          <w:color w:val="auto"/>
        </w:rPr>
      </w:pPr>
      <w:r>
        <w:rPr>
          <w:rFonts w:ascii="Calibri" w:cs="Calibri" w:eastAsia="Calibri" w:hAnsi="Calibri"/>
          <w:sz w:val="18"/>
          <w:szCs w:val="18"/>
          <w:color w:val="auto"/>
        </w:rPr>
        <w:t>on the date specifed in its notce of intended prepayment, the Borrower shall prepay (without premium or penalty) the Notfying Lender's Contributon, together with accrued interest thereon at the applicable rate plus the Margin.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24.7</w:t>
        <w:tab/>
        <w:t>Applicaton of prepayment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Clause 8 (</w:t>
      </w:r>
      <w:r>
        <w:rPr>
          <w:rFonts w:ascii="Calibri" w:cs="Calibri" w:eastAsia="Calibri" w:hAnsi="Calibri"/>
          <w:sz w:val="18"/>
          <w:szCs w:val="18"/>
          <w:i w:val="1"/>
          <w:iCs w:val="1"/>
          <w:color w:val="auto"/>
        </w:rPr>
        <w:t>Repayment and Prepayment</w:t>
      </w:r>
      <w:r>
        <w:rPr>
          <w:rFonts w:ascii="Calibri" w:cs="Calibri" w:eastAsia="Calibri" w:hAnsi="Calibri"/>
          <w:sz w:val="18"/>
          <w:szCs w:val="18"/>
          <w:color w:val="auto"/>
        </w:rPr>
        <w:t>) shall apply in relaton to the prepayment.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25</w:t>
      </w:r>
      <w:r>
        <w:rPr>
          <w:sz w:val="20"/>
          <w:szCs w:val="20"/>
          <w:color w:val="auto"/>
        </w:rPr>
        <w:tab/>
      </w:r>
      <w:r>
        <w:rPr>
          <w:rFonts w:ascii="Calibri" w:cs="Calibri" w:eastAsia="Calibri" w:hAnsi="Calibri"/>
          <w:sz w:val="18"/>
          <w:szCs w:val="18"/>
          <w:b w:val="1"/>
          <w:bCs w:val="1"/>
          <w:color w:val="auto"/>
        </w:rPr>
        <w:t>SET-OFF</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25.1</w:t>
        <w:tab/>
        <w:t>Applicaton of credit balances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Each Creditor Party may without prior notce to the Borrower but with prior notce to the Agent:</w:t>
      </w:r>
    </w:p>
    <w:p>
      <w:pPr>
        <w:spacing w:after="0" w:line="183" w:lineRule="exact"/>
        <w:rPr>
          <w:sz w:val="20"/>
          <w:szCs w:val="20"/>
          <w:color w:val="auto"/>
        </w:rPr>
      </w:pPr>
    </w:p>
    <w:p>
      <w:pPr>
        <w:jc w:val="both"/>
        <w:ind w:left="580" w:hanging="580"/>
        <w:spacing w:after="0" w:line="225" w:lineRule="auto"/>
        <w:tabs>
          <w:tab w:leader="none" w:pos="580" w:val="left"/>
        </w:tabs>
        <w:numPr>
          <w:ilvl w:val="0"/>
          <w:numId w:val="391"/>
        </w:numPr>
        <w:rPr>
          <w:rFonts w:ascii="Calibri" w:cs="Calibri" w:eastAsia="Calibri" w:hAnsi="Calibri"/>
          <w:sz w:val="18"/>
          <w:szCs w:val="18"/>
          <w:color w:val="auto"/>
        </w:rPr>
      </w:pPr>
      <w:r>
        <w:rPr>
          <w:rFonts w:ascii="Calibri" w:cs="Calibri" w:eastAsia="Calibri" w:hAnsi="Calibri"/>
          <w:sz w:val="18"/>
          <w:szCs w:val="18"/>
          <w:color w:val="auto"/>
        </w:rPr>
        <w:t>apply any balance (whether or not then due) which at any tme stands to the credit of any account in the name of the Borrower at any ofce in any country of that Creditor Party in or towards satsfacton of any sum then due from the Borrower to that Creditor Party under any of the Finance Documents;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1"/>
        </w:numPr>
        <w:rPr>
          <w:rFonts w:ascii="Calibri" w:cs="Calibri" w:eastAsia="Calibri" w:hAnsi="Calibri"/>
          <w:sz w:val="18"/>
          <w:szCs w:val="18"/>
          <w:color w:val="auto"/>
        </w:rPr>
      </w:pPr>
      <w:r>
        <w:rPr>
          <w:rFonts w:ascii="Calibri" w:cs="Calibri" w:eastAsia="Calibri" w:hAnsi="Calibri"/>
          <w:sz w:val="18"/>
          <w:szCs w:val="18"/>
          <w:color w:val="auto"/>
        </w:rPr>
        <w:t>for that purpose:</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91"/>
        </w:numPr>
        <w:rPr>
          <w:rFonts w:ascii="Calibri" w:cs="Calibri" w:eastAsia="Calibri" w:hAnsi="Calibri"/>
          <w:sz w:val="18"/>
          <w:szCs w:val="18"/>
          <w:color w:val="auto"/>
        </w:rPr>
      </w:pPr>
      <w:r>
        <w:rPr>
          <w:rFonts w:ascii="Calibri" w:cs="Calibri" w:eastAsia="Calibri" w:hAnsi="Calibri"/>
          <w:sz w:val="18"/>
          <w:szCs w:val="18"/>
          <w:color w:val="auto"/>
        </w:rPr>
        <w:t>break, or alter the maturity of, all or any part of a deposit of the Borrower;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391"/>
        </w:numPr>
        <w:rPr>
          <w:rFonts w:ascii="Calibri" w:cs="Calibri" w:eastAsia="Calibri" w:hAnsi="Calibri"/>
          <w:sz w:val="18"/>
          <w:szCs w:val="18"/>
          <w:color w:val="auto"/>
        </w:rPr>
      </w:pPr>
      <w:r>
        <w:rPr>
          <w:rFonts w:ascii="Calibri" w:cs="Calibri" w:eastAsia="Calibri" w:hAnsi="Calibri"/>
          <w:sz w:val="18"/>
          <w:szCs w:val="18"/>
          <w:color w:val="auto"/>
        </w:rPr>
        <w:t>convert or translate all or any part of a deposit or other credit balance into Dollars;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1" w:name="page232"/>
    <w:bookmarkEnd w:id="231"/>
    <w:p>
      <w:pPr>
        <w:ind w:left="1180" w:hanging="591"/>
        <w:spacing w:after="0" w:line="228" w:lineRule="auto"/>
        <w:tabs>
          <w:tab w:leader="none" w:pos="1180" w:val="left"/>
        </w:tabs>
        <w:numPr>
          <w:ilvl w:val="0"/>
          <w:numId w:val="392"/>
        </w:numPr>
        <w:rPr>
          <w:rFonts w:ascii="Calibri" w:cs="Calibri" w:eastAsia="Calibri" w:hAnsi="Calibri"/>
          <w:sz w:val="18"/>
          <w:szCs w:val="18"/>
          <w:color w:val="auto"/>
        </w:rPr>
      </w:pPr>
      <w:r>
        <w:rPr>
          <w:rFonts w:ascii="Calibri" w:cs="Calibri" w:eastAsia="Calibri" w:hAnsi="Calibri"/>
          <w:sz w:val="18"/>
          <w:szCs w:val="18"/>
          <w:color w:val="auto"/>
        </w:rPr>
        <w:t>enter into any other transacton or make any entry with regard to the credit balance which the Creditor Party concerned considers appropriate.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25.2</w:t>
        <w:tab/>
        <w:t>Existng rights unafected</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No Creditor Party shall be obliged to exercise any of its rights under Clause 25.1; and those rights shall be without prejudice and in additon to any right of set-of, combinaton of accounts, charge, lien or other right or remedy to which a Creditor Party is enttled (whether under the general law or any document).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25.3</w:t>
        <w:tab/>
        <w:t>Sums deemed due to a Lender</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For the purposes of this Clause 24.3, a sum payable by the Borrower to the Agent or the Security Trustee for distributon to, or for the account of, a Lender shall be treated as a sum due to that Lender; and each Lender's proporton of a sum so payable for distributon to, or for the account of, the Lenders shall be treated as a sum due to such Lender.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25.4</w:t>
        <w:tab/>
        <w:t>No Security Interest</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This Clause 24.3 gives the Creditor Partes a contractual right of set-of only, and does not create any equitable charge or other Security Interest over any credit balance of the Borrower.</w:t>
      </w:r>
    </w:p>
    <w:p>
      <w:pPr>
        <w:spacing w:after="0" w:line="182" w:lineRule="exact"/>
        <w:rPr>
          <w:sz w:val="20"/>
          <w:szCs w:val="20"/>
          <w:color w:val="auto"/>
        </w:rPr>
      </w:pPr>
    </w:p>
    <w:p>
      <w:pPr>
        <w:ind w:left="580" w:hanging="580"/>
        <w:spacing w:after="0"/>
        <w:tabs>
          <w:tab w:leader="none" w:pos="580" w:val="left"/>
        </w:tabs>
        <w:numPr>
          <w:ilvl w:val="0"/>
          <w:numId w:val="39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TRANSFERS AND CHANGES IN LENDING OFFICES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39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Transfer by Borrower</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may not assign or transfer any of its rights, liabilites or obligatons under any Finance Document.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26.2</w:t>
        <w:tab/>
        <w:t>Transfer by a Lender</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 26.4, a Lender (the "</w:t>
      </w:r>
      <w:r>
        <w:rPr>
          <w:rFonts w:ascii="Calibri" w:cs="Calibri" w:eastAsia="Calibri" w:hAnsi="Calibri"/>
          <w:sz w:val="18"/>
          <w:szCs w:val="18"/>
          <w:b w:val="1"/>
          <w:bCs w:val="1"/>
          <w:color w:val="auto"/>
        </w:rPr>
        <w:t>Transferor Lender</w:t>
      </w:r>
      <w:r>
        <w:rPr>
          <w:rFonts w:ascii="Calibri" w:cs="Calibri" w:eastAsia="Calibri" w:hAnsi="Calibri"/>
          <w:sz w:val="18"/>
          <w:szCs w:val="18"/>
          <w:color w:val="auto"/>
        </w:rPr>
        <w:t>") may at any tme cause:</w:t>
      </w:r>
    </w:p>
    <w:p>
      <w:pPr>
        <w:spacing w:after="0" w:line="181" w:lineRule="exact"/>
        <w:rPr>
          <w:sz w:val="20"/>
          <w:szCs w:val="20"/>
          <w:color w:val="auto"/>
        </w:rPr>
      </w:pPr>
    </w:p>
    <w:p>
      <w:pPr>
        <w:ind w:left="580" w:hanging="580"/>
        <w:spacing w:after="0"/>
        <w:tabs>
          <w:tab w:leader="none" w:pos="580" w:val="left"/>
        </w:tabs>
        <w:numPr>
          <w:ilvl w:val="0"/>
          <w:numId w:val="395"/>
        </w:numPr>
        <w:rPr>
          <w:rFonts w:ascii="Calibri" w:cs="Calibri" w:eastAsia="Calibri" w:hAnsi="Calibri"/>
          <w:sz w:val="18"/>
          <w:szCs w:val="18"/>
          <w:color w:val="auto"/>
        </w:rPr>
      </w:pPr>
      <w:r>
        <w:rPr>
          <w:rFonts w:ascii="Calibri" w:cs="Calibri" w:eastAsia="Calibri" w:hAnsi="Calibri"/>
          <w:sz w:val="18"/>
          <w:szCs w:val="18"/>
          <w:color w:val="auto"/>
        </w:rPr>
        <w:t>its rights in respect of all or part of its Contributon;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5"/>
        </w:numPr>
        <w:rPr>
          <w:rFonts w:ascii="Calibri" w:cs="Calibri" w:eastAsia="Calibri" w:hAnsi="Calibri"/>
          <w:sz w:val="18"/>
          <w:szCs w:val="18"/>
          <w:color w:val="auto"/>
        </w:rPr>
      </w:pPr>
      <w:r>
        <w:rPr>
          <w:rFonts w:ascii="Calibri" w:cs="Calibri" w:eastAsia="Calibri" w:hAnsi="Calibri"/>
          <w:sz w:val="18"/>
          <w:szCs w:val="18"/>
          <w:color w:val="auto"/>
        </w:rPr>
        <w:t>its obligatons in respect of all or part of its Commitment;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5"/>
        </w:numPr>
        <w:rPr>
          <w:rFonts w:ascii="Calibri" w:cs="Calibri" w:eastAsia="Calibri" w:hAnsi="Calibri"/>
          <w:sz w:val="18"/>
          <w:szCs w:val="18"/>
          <w:color w:val="auto"/>
        </w:rPr>
      </w:pPr>
      <w:r>
        <w:rPr>
          <w:rFonts w:ascii="Calibri" w:cs="Calibri" w:eastAsia="Calibri" w:hAnsi="Calibri"/>
          <w:sz w:val="18"/>
          <w:szCs w:val="18"/>
          <w:color w:val="auto"/>
        </w:rPr>
        <w:t>a combinaton of (a) and (b);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5"/>
        </w:numPr>
        <w:rPr>
          <w:rFonts w:ascii="Calibri" w:cs="Calibri" w:eastAsia="Calibri" w:hAnsi="Calibri"/>
          <w:sz w:val="18"/>
          <w:szCs w:val="18"/>
          <w:color w:val="auto"/>
        </w:rPr>
      </w:pPr>
      <w:r>
        <w:rPr>
          <w:rFonts w:ascii="Calibri" w:cs="Calibri" w:eastAsia="Calibri" w:hAnsi="Calibri"/>
          <w:sz w:val="18"/>
          <w:szCs w:val="18"/>
          <w:color w:val="auto"/>
        </w:rPr>
        <w:t>all or part of its credit risk under this Agreement and the other Finance Documents,</w:t>
      </w:r>
    </w:p>
    <w:p>
      <w:pPr>
        <w:spacing w:after="0" w:line="183" w:lineRule="exact"/>
        <w:rPr>
          <w:rFonts w:ascii="Calibri" w:cs="Calibri" w:eastAsia="Calibri" w:hAnsi="Calibri"/>
          <w:sz w:val="18"/>
          <w:szCs w:val="18"/>
          <w:color w:val="auto"/>
        </w:rPr>
      </w:pPr>
    </w:p>
    <w:p>
      <w:pPr>
        <w:jc w:val="both"/>
        <w:ind w:left="600"/>
        <w:spacing w:after="0" w:line="222" w:lineRule="auto"/>
        <w:rPr>
          <w:rFonts w:ascii="Calibri" w:cs="Calibri" w:eastAsia="Calibri" w:hAnsi="Calibri"/>
          <w:sz w:val="18"/>
          <w:szCs w:val="18"/>
          <w:color w:val="auto"/>
        </w:rPr>
      </w:pPr>
      <w:r>
        <w:rPr>
          <w:rFonts w:ascii="Calibri" w:cs="Calibri" w:eastAsia="Calibri" w:hAnsi="Calibri"/>
          <w:sz w:val="18"/>
          <w:szCs w:val="18"/>
          <w:color w:val="auto"/>
        </w:rPr>
        <w:t>to be syndicated to or, (in the case of its rights) assigned, pledged or transferred to, or (in the case of its obligatons) pledged or assumed by any other bank or fnancial insttuton or to a trust, fund or other entty, provided such other entty is regularly engaged in, or established for the purpose of, making, purchasing or investng in loans, securites or other fnancial assets (a "</w:t>
      </w:r>
      <w:r>
        <w:rPr>
          <w:rFonts w:ascii="Calibri" w:cs="Calibri" w:eastAsia="Calibri" w:hAnsi="Calibri"/>
          <w:sz w:val="18"/>
          <w:szCs w:val="18"/>
          <w:b w:val="1"/>
          <w:bCs w:val="1"/>
          <w:color w:val="auto"/>
        </w:rPr>
        <w:t>Transferee Lender</w:t>
      </w:r>
      <w:r>
        <w:rPr>
          <w:rFonts w:ascii="Calibri" w:cs="Calibri" w:eastAsia="Calibri" w:hAnsi="Calibri"/>
          <w:sz w:val="18"/>
          <w:szCs w:val="18"/>
          <w:color w:val="auto"/>
        </w:rPr>
        <w:t>") by delivering to the Agent a completed certfcate in the form set out in Schedule 4 with any modifcatons approved or required by the Agent (a "</w:t>
      </w:r>
      <w:r>
        <w:rPr>
          <w:rFonts w:ascii="Calibri" w:cs="Calibri" w:eastAsia="Calibri" w:hAnsi="Calibri"/>
          <w:sz w:val="18"/>
          <w:szCs w:val="18"/>
          <w:b w:val="1"/>
          <w:bCs w:val="1"/>
          <w:color w:val="auto"/>
        </w:rPr>
        <w:t>Transfer</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Certfcate</w:t>
      </w:r>
      <w:r>
        <w:rPr>
          <w:rFonts w:ascii="Calibri" w:cs="Calibri" w:eastAsia="Calibri" w:hAnsi="Calibri"/>
          <w:sz w:val="18"/>
          <w:szCs w:val="18"/>
          <w:color w:val="auto"/>
        </w:rPr>
        <w:t>") executed by the Transferor Lender and the Transferee Lender.</w:t>
      </w:r>
    </w:p>
    <w:p>
      <w:pPr>
        <w:spacing w:after="0" w:line="186" w:lineRule="exact"/>
        <w:rPr>
          <w:rFonts w:ascii="Calibri" w:cs="Calibri" w:eastAsia="Calibri" w:hAnsi="Calibri"/>
          <w:sz w:val="18"/>
          <w:szCs w:val="18"/>
          <w:color w:val="auto"/>
        </w:rPr>
      </w:pPr>
    </w:p>
    <w:p>
      <w:pPr>
        <w:ind w:left="600"/>
        <w:spacing w:after="0" w:line="228" w:lineRule="auto"/>
        <w:rPr>
          <w:rFonts w:ascii="Calibri" w:cs="Calibri" w:eastAsia="Calibri" w:hAnsi="Calibri"/>
          <w:sz w:val="18"/>
          <w:szCs w:val="18"/>
          <w:color w:val="auto"/>
        </w:rPr>
      </w:pPr>
      <w:r>
        <w:rPr>
          <w:rFonts w:ascii="Calibri" w:cs="Calibri" w:eastAsia="Calibri" w:hAnsi="Calibri"/>
          <w:sz w:val="18"/>
          <w:szCs w:val="18"/>
          <w:color w:val="auto"/>
        </w:rPr>
        <w:t>However any rights and obligatons of the Transferor Lender in its capacity as Agent or Security Trustee will have to be dealt with separately in accordance with the Agency and Trust Deed.</w:t>
      </w:r>
    </w:p>
    <w:p>
      <w:pPr>
        <w:spacing w:after="0" w:line="184"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prior consent of the Borrower (such consent not to be unreasonably withheld, delayed or conditoned) is required for a syndicaton or, (in the case of its rights) assignment, pledge or</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89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32" w:name="page233"/>
    <w:bookmarkEnd w:id="232"/>
    <w:p>
      <w:pPr>
        <w:ind w:left="600"/>
        <w:spacing w:after="0"/>
        <w:rPr>
          <w:sz w:val="20"/>
          <w:szCs w:val="20"/>
          <w:color w:val="auto"/>
        </w:rPr>
      </w:pPr>
      <w:r>
        <w:rPr>
          <w:rFonts w:ascii="Calibri" w:cs="Calibri" w:eastAsia="Calibri" w:hAnsi="Calibri"/>
          <w:sz w:val="18"/>
          <w:szCs w:val="18"/>
          <w:color w:val="auto"/>
        </w:rPr>
        <w:t>transfer, or (in the case of its obligatons) pledge or assumpton pursuant to this Clause 26.2, unless:</w:t>
      </w:r>
    </w:p>
    <w:p>
      <w:pPr>
        <w:spacing w:after="0" w:line="183" w:lineRule="exact"/>
        <w:rPr>
          <w:sz w:val="20"/>
          <w:szCs w:val="20"/>
          <w:color w:val="auto"/>
        </w:rPr>
      </w:pPr>
    </w:p>
    <w:p>
      <w:pPr>
        <w:ind w:left="1180" w:hanging="591"/>
        <w:spacing w:after="0" w:line="228" w:lineRule="auto"/>
        <w:tabs>
          <w:tab w:leader="none" w:pos="1180" w:val="left"/>
        </w:tabs>
        <w:numPr>
          <w:ilvl w:val="0"/>
          <w:numId w:val="396"/>
        </w:numPr>
        <w:rPr>
          <w:rFonts w:ascii="Calibri" w:cs="Calibri" w:eastAsia="Calibri" w:hAnsi="Calibri"/>
          <w:sz w:val="18"/>
          <w:szCs w:val="18"/>
          <w:color w:val="auto"/>
        </w:rPr>
      </w:pPr>
      <w:r>
        <w:rPr>
          <w:rFonts w:ascii="Calibri" w:cs="Calibri" w:eastAsia="Calibri" w:hAnsi="Calibri"/>
          <w:sz w:val="18"/>
          <w:szCs w:val="18"/>
          <w:color w:val="auto"/>
        </w:rPr>
        <w:t>the Transferee Lender is another Lender or an afliate or a company or fnancial insttuton which is in the same ownership or control as one of the Lenders;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0"/>
          <w:numId w:val="396"/>
        </w:numPr>
        <w:rPr>
          <w:rFonts w:ascii="Calibri" w:cs="Calibri" w:eastAsia="Calibri" w:hAnsi="Calibri"/>
          <w:sz w:val="18"/>
          <w:szCs w:val="18"/>
          <w:color w:val="auto"/>
        </w:rPr>
      </w:pPr>
      <w:r>
        <w:rPr>
          <w:rFonts w:ascii="Calibri" w:cs="Calibri" w:eastAsia="Calibri" w:hAnsi="Calibri"/>
          <w:sz w:val="18"/>
          <w:szCs w:val="18"/>
          <w:color w:val="auto"/>
        </w:rPr>
        <w:t>an Event of Default has occurred at the relevant tme.</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With respect to the Transferor Lender's notce requestng the Borrower's consent under this Clause 26.2, such consent shall be deemed granted if the Borrower has failed to object to such request by writen notce to the Transferor Lender within fve Business Days from the Borrower's receipt of the Transferor Lender's notce.</w:t>
      </w:r>
    </w:p>
    <w:p>
      <w:pPr>
        <w:spacing w:after="0" w:line="184"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Borrower shall not be liable for any costs or expenses of the Transferor Lender, the Transferee Lender or any other party under or in connecton with any assignment or other transfer pursuant to this Clause 26.2.</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26.3</w:t>
        <w:tab/>
        <w:t>Transfer Certfcate, delivery and notfcaton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As soon as reasonably practcable afer a Transfer Certfcate is delivered to the Agent, it shall (unless it has reason to believe that the</w:t>
      </w:r>
    </w:p>
    <w:p>
      <w:pPr>
        <w:ind w:left="600"/>
        <w:spacing w:after="0" w:line="218" w:lineRule="auto"/>
        <w:rPr>
          <w:sz w:val="20"/>
          <w:szCs w:val="20"/>
          <w:color w:val="auto"/>
        </w:rPr>
      </w:pPr>
      <w:r>
        <w:rPr>
          <w:rFonts w:ascii="Calibri" w:cs="Calibri" w:eastAsia="Calibri" w:hAnsi="Calibri"/>
          <w:sz w:val="18"/>
          <w:szCs w:val="18"/>
          <w:color w:val="auto"/>
        </w:rPr>
        <w:t>Transfer Certfcate may be defectve):</w:t>
      </w:r>
    </w:p>
    <w:p>
      <w:pPr>
        <w:spacing w:after="0" w:line="182" w:lineRule="exact"/>
        <w:rPr>
          <w:sz w:val="20"/>
          <w:szCs w:val="20"/>
          <w:color w:val="auto"/>
        </w:rPr>
      </w:pPr>
    </w:p>
    <w:p>
      <w:pPr>
        <w:ind w:left="580" w:hanging="580"/>
        <w:spacing w:after="0"/>
        <w:tabs>
          <w:tab w:leader="none" w:pos="580" w:val="left"/>
        </w:tabs>
        <w:numPr>
          <w:ilvl w:val="0"/>
          <w:numId w:val="397"/>
        </w:numPr>
        <w:rPr>
          <w:rFonts w:ascii="Calibri" w:cs="Calibri" w:eastAsia="Calibri" w:hAnsi="Calibri"/>
          <w:sz w:val="18"/>
          <w:szCs w:val="18"/>
          <w:color w:val="auto"/>
        </w:rPr>
      </w:pPr>
      <w:r>
        <w:rPr>
          <w:rFonts w:ascii="Calibri" w:cs="Calibri" w:eastAsia="Calibri" w:hAnsi="Calibri"/>
          <w:sz w:val="18"/>
          <w:szCs w:val="18"/>
          <w:color w:val="auto"/>
        </w:rPr>
        <w:t>sign the Transfer Certfcate on behalf of itself, the Borrower, the Security Partes, the Security Trustee and each of the other Lenders;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97"/>
        </w:numPr>
        <w:rPr>
          <w:rFonts w:ascii="Calibri" w:cs="Calibri" w:eastAsia="Calibri" w:hAnsi="Calibri"/>
          <w:sz w:val="18"/>
          <w:szCs w:val="18"/>
          <w:color w:val="auto"/>
        </w:rPr>
      </w:pPr>
      <w:r>
        <w:rPr>
          <w:rFonts w:ascii="Calibri" w:cs="Calibri" w:eastAsia="Calibri" w:hAnsi="Calibri"/>
          <w:sz w:val="18"/>
          <w:szCs w:val="18"/>
          <w:color w:val="auto"/>
        </w:rPr>
        <w:t>on behalf of the Transferee Lender, send to the Borrower and each Security Party leters or faxes notfying them of the Transfer Certfcate and ataching a copy of it;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7"/>
        </w:numPr>
        <w:rPr>
          <w:rFonts w:ascii="Calibri" w:cs="Calibri" w:eastAsia="Calibri" w:hAnsi="Calibri"/>
          <w:sz w:val="18"/>
          <w:szCs w:val="18"/>
          <w:color w:val="auto"/>
        </w:rPr>
      </w:pPr>
      <w:r>
        <w:rPr>
          <w:rFonts w:ascii="Calibri" w:cs="Calibri" w:eastAsia="Calibri" w:hAnsi="Calibri"/>
          <w:sz w:val="18"/>
          <w:szCs w:val="18"/>
          <w:color w:val="auto"/>
        </w:rPr>
        <w:t>send to the Transferee Lender copies of the leters or faxes sent under paragraph (b) above.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26.4</w:t>
        <w:tab/>
        <w:t>Efectve Date of Transfer Certfcate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 xml:space="preserve">A Transfer Certfcate becomes efectve on the date, if any, specifed in the Transfer Certfcate as its efectve date, </w:t>
      </w: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xml:space="preserve"> it is signed by the Agent under Clause 26.3 on or before that date.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26.5</w:t>
        <w:tab/>
        <w:t>No transfer without Transfer Certfcate</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Except as provided in Clause 26.17, no assignment or transfer of any right or obligaton of a Lender under any Finance Document is binding on, or efectve in relaton to, the Borrower, any Security Party, the Agent or the Security Trustee unless it is efected, evidenced or perfected by a Transfer Certfcate.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26.6</w:t>
        <w:tab/>
        <w:t>Lender re-organisaton; waiver of Transfer Certfcate</w:t>
      </w:r>
    </w:p>
    <w:p>
      <w:pPr>
        <w:spacing w:after="0" w:line="183" w:lineRule="exact"/>
        <w:rPr>
          <w:sz w:val="20"/>
          <w:szCs w:val="20"/>
          <w:color w:val="auto"/>
        </w:rPr>
      </w:pPr>
    </w:p>
    <w:p>
      <w:pPr>
        <w:jc w:val="both"/>
        <w:ind w:left="600"/>
        <w:spacing w:after="0" w:line="222" w:lineRule="auto"/>
        <w:rPr>
          <w:sz w:val="20"/>
          <w:szCs w:val="20"/>
          <w:color w:val="auto"/>
        </w:rPr>
      </w:pPr>
      <w:r>
        <w:rPr>
          <w:rFonts w:ascii="Calibri" w:cs="Calibri" w:eastAsia="Calibri" w:hAnsi="Calibri"/>
          <w:sz w:val="18"/>
          <w:szCs w:val="18"/>
          <w:color w:val="auto"/>
        </w:rPr>
        <w:t>However, if a Lender enters into any merger, de-merger or other reorganisaton as a result of which all its rights or obligatons vest in another person (the "</w:t>
      </w:r>
      <w:r>
        <w:rPr>
          <w:rFonts w:ascii="Calibri" w:cs="Calibri" w:eastAsia="Calibri" w:hAnsi="Calibri"/>
          <w:sz w:val="18"/>
          <w:szCs w:val="18"/>
          <w:b w:val="1"/>
          <w:bCs w:val="1"/>
          <w:color w:val="auto"/>
        </w:rPr>
        <w:t>successor</w:t>
      </w:r>
      <w:r>
        <w:rPr>
          <w:rFonts w:ascii="Calibri" w:cs="Calibri" w:eastAsia="Calibri" w:hAnsi="Calibri"/>
          <w:sz w:val="18"/>
          <w:szCs w:val="18"/>
          <w:color w:val="auto"/>
        </w:rPr>
        <w:t>"), the successor shall become a Lender with the same Commitment and Contributon as were held by the predecessor Lender only upon receipt by the Agent of a notce to this efect and evidence that all rights and obligatons have automatcally and by operaton of law vested in the successor by virtue of the merger, de-merger or other reorganisaton, without the need for the executon and delivery of a Transfer Certfcate; the Agent shall in that event inform the Borrower and the Security Trustee accordingly.</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3" w:name="page234"/>
    <w:bookmarkEnd w:id="233"/>
    <w:p>
      <w:pPr>
        <w:spacing w:after="0"/>
        <w:tabs>
          <w:tab w:leader="none" w:pos="560" w:val="left"/>
        </w:tabs>
        <w:rPr>
          <w:sz w:val="20"/>
          <w:szCs w:val="20"/>
          <w:color w:val="auto"/>
        </w:rPr>
      </w:pPr>
      <w:r>
        <w:rPr>
          <w:rFonts w:ascii="Calibri" w:cs="Calibri" w:eastAsia="Calibri" w:hAnsi="Calibri"/>
          <w:sz w:val="18"/>
          <w:szCs w:val="18"/>
          <w:b w:val="1"/>
          <w:bCs w:val="1"/>
          <w:color w:val="auto"/>
        </w:rPr>
        <w:t>26.7</w:t>
        <w:tab/>
        <w:t>Efect of Transfer Certfcate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Transfer Certfcate takes efect in accordance with English law as follows:</w:t>
      </w:r>
    </w:p>
    <w:p>
      <w:pPr>
        <w:spacing w:after="0" w:line="183" w:lineRule="exact"/>
        <w:rPr>
          <w:sz w:val="20"/>
          <w:szCs w:val="20"/>
          <w:color w:val="auto"/>
        </w:rPr>
      </w:pPr>
    </w:p>
    <w:p>
      <w:pPr>
        <w:jc w:val="both"/>
        <w:ind w:left="580" w:hanging="580"/>
        <w:spacing w:after="0" w:line="225" w:lineRule="auto"/>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to the extent specifed in the Transfer Certfcate, all rights and interests (present, future or contngent) which the Transferor Lender has under or by virtue of the Finance Documents are assigned to the Transferee Lender absolutely, free of any defects in the Transferor Lender's ttle and of any rights or equites which the Borrower or any Security Party had against the Transferor Lender;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the Transferor Lender's Commitment is discharged to the extent specifed in the Transfer Certfcate;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the Transferee Lender becomes a Lender with the Contributon previously held by the Transferor Lender and a Commitment of an amount specifed in the Transfer Certfcate;</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the Transferee Lender becomes bound by all the provisions of the Finance Documents which are applicable to the Lenders generally, including those about pro-rata sharing and the exclusion of liability on the part of, and the indemnifcaton of, the Agent and the Security Trustee and, to the extent that the Transferee Lender becomes bound by those provisions (other than those relatng to exclusion of liability), the Transferor Lender ceases to be bound by them;</w:t>
      </w:r>
    </w:p>
    <w:p>
      <w:pPr>
        <w:spacing w:after="0" w:line="185"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any part of the Loan which the Transferee Lender advances afer the Transfer Certfcate's efectve date ranks in point of priority and security in the same way as it would have ranked had it been advanced by the transferor, assuming that any defects in the transferor's ttle and any rights or equites of the Borrower or any Security Party against the Transferor Lender had not existed;</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the Transferee Lender becomes enttled to all the rights under the Finance Documents which are applicable to the Lenders generally, including but not limited to those relatng to the Majority Lenders and those under Clause 5.6 and Clause 20, and to the extent that the Transferee Lender becomes enttled to such rights, the Transferor Lender ceases to be enttled to them; and</w:t>
      </w:r>
    </w:p>
    <w:p>
      <w:pPr>
        <w:spacing w:after="0" w:line="183" w:lineRule="exact"/>
        <w:rPr>
          <w:rFonts w:ascii="Calibri" w:cs="Calibri" w:eastAsia="Calibri" w:hAnsi="Calibri"/>
          <w:sz w:val="18"/>
          <w:szCs w:val="18"/>
          <w:color w:val="auto"/>
        </w:rPr>
      </w:pPr>
    </w:p>
    <w:p>
      <w:pPr>
        <w:jc w:val="both"/>
        <w:ind w:left="580" w:hanging="580"/>
        <w:spacing w:after="0"/>
        <w:tabs>
          <w:tab w:leader="none" w:pos="580" w:val="left"/>
        </w:tabs>
        <w:numPr>
          <w:ilvl w:val="0"/>
          <w:numId w:val="398"/>
        </w:numPr>
        <w:rPr>
          <w:rFonts w:ascii="Calibri" w:cs="Calibri" w:eastAsia="Calibri" w:hAnsi="Calibri"/>
          <w:sz w:val="18"/>
          <w:szCs w:val="18"/>
          <w:color w:val="auto"/>
        </w:rPr>
      </w:pPr>
      <w:r>
        <w:rPr>
          <w:rFonts w:ascii="Calibri" w:cs="Calibri" w:eastAsia="Calibri" w:hAnsi="Calibri"/>
          <w:sz w:val="18"/>
          <w:szCs w:val="18"/>
          <w:color w:val="auto"/>
        </w:rPr>
        <w:t>in respect of any breach of a warranty, undertaking, conditon or other provision of a Finance Document or any misrepresentaton made in or in connecton with a Finance Document, the Transferee Lender shall be enttled to recover damages by reference to the loss incurred by it as a result of the breach or misrepresentaton, irrespectve of whether the original Lender would have incurred a loss of that kind or amount.</w:t>
      </w:r>
    </w:p>
    <w:p>
      <w:pPr>
        <w:spacing w:after="0" w:line="34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rights and equites of the Borrower or any Security Party referred to above include, but are not limited to, any right of set of and any other kind of cross-claim.</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26.8</w:t>
        <w:tab/>
        <w:t>Maintenance of register of Lenders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During the Security Period the Agent shall maintain a register in which it shall record the name, Commitment, Contributon and administratve details (including the lending ofce) from tme to tme of each Lender holding a Transfer Certfcate and the efectve date (in accordance with Clause 26.4) of the Transfer Certfcate; and the Agent shall make the register available for inspecton by any Lender, the Security Trustee and the Borrower during normal banking hours, subject to receiving at least three Business Days' prior notce.</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4" w:name="page235"/>
    <w:bookmarkEnd w:id="234"/>
    <w:p>
      <w:pPr>
        <w:spacing w:after="0"/>
        <w:tabs>
          <w:tab w:leader="none" w:pos="560" w:val="left"/>
        </w:tabs>
        <w:rPr>
          <w:sz w:val="20"/>
          <w:szCs w:val="20"/>
          <w:color w:val="auto"/>
        </w:rPr>
      </w:pPr>
      <w:r>
        <w:rPr>
          <w:rFonts w:ascii="Calibri" w:cs="Calibri" w:eastAsia="Calibri" w:hAnsi="Calibri"/>
          <w:sz w:val="18"/>
          <w:szCs w:val="18"/>
          <w:b w:val="1"/>
          <w:bCs w:val="1"/>
          <w:color w:val="auto"/>
        </w:rPr>
        <w:t>26.9</w:t>
        <w:tab/>
        <w:t>Reliance on register of Lenders</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entries on that register shall, in the absence of manifest error, be conclusive in determining the identtes of the Lenders and the amounts of their Commitments and Contributons and the efectve dates of Transfer Certfcates and may be relied upon by the Agent and the other partes to the Finance Documents for all purposes relatng to the Finance Documents.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26.10</w:t>
        <w:tab/>
        <w:t>Authorisaton of Agent to sign Transfer Certfcates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 xml:space="preserve">The Borrower, the Security Trustee and each Lender irrevocably authorise the Agent to sign Transfer Certfcates on its behalf. The Borrower and each Security Party irrevocably agrees to the transfer procedures set out in this Clause 26 and to the extent the cooperaton of the Borrower and/or any Security Party shall be required to efect any such transfer, the Borrower and such Security Party shall take all necessary steps to aford such cooperaton </w:t>
      </w:r>
      <w:r>
        <w:rPr>
          <w:rFonts w:ascii="Calibri" w:cs="Calibri" w:eastAsia="Calibri" w:hAnsi="Calibri"/>
          <w:sz w:val="18"/>
          <w:szCs w:val="18"/>
          <w:b w:val="1"/>
          <w:bCs w:val="1"/>
          <w:color w:val="auto"/>
        </w:rPr>
        <w:t>Provided that</w:t>
      </w:r>
      <w:r>
        <w:rPr>
          <w:rFonts w:ascii="Calibri" w:cs="Calibri" w:eastAsia="Calibri" w:hAnsi="Calibri"/>
          <w:sz w:val="18"/>
          <w:szCs w:val="18"/>
          <w:color w:val="auto"/>
        </w:rPr>
        <w:t xml:space="preserve"> this shall not result in any additonal costs to the Borrower or such Security Party.</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26.11</w:t>
        <w:tab/>
        <w:t>Registraton fee</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In respect of any Transfer Certfcate, the Agent shall be enttled to recover a registraton fee of $2,500 from the Transferor Lender or (at the Agent's opton) the Transferee Lender.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26.12</w:t>
        <w:tab/>
        <w:t>Sub-partcipaton; subrogaton assignment</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A Lender may sub-partcipate or include in a securitsaton or similar transacton all or any part of its rights and/or obligatons under or in connecton with the Finance Documents without the Borrower's prior consent and without serving a notce thereon; the Lenders may assign without the Borrower's prior consent and without serving a notce thereon all or any part of the rights referred to in the preceding sentence to an insurer or surety who has become subrogated to them.</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26.13</w:t>
        <w:tab/>
        <w:t>Sub-division, split, modifcaton or re-tranching</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Any Lender may, in its sole discreton, sub-divide, split, sever, modify or re-tranche its Contributon into one or more parts subject to the overall cost of its Contributon to the Borrower remaining unchanged, if such changes are necessary in order to achieve a successful executon of a securitsaton, syndicaton or any other capital market exit in respect of its Contributon (or any applicable part thereof).</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26.14</w:t>
        <w:tab/>
        <w:t>Borrower's cooperaton and confdentality</w:t>
      </w:r>
    </w:p>
    <w:p>
      <w:pPr>
        <w:spacing w:after="0" w:line="181" w:lineRule="exact"/>
        <w:rPr>
          <w:sz w:val="20"/>
          <w:szCs w:val="20"/>
          <w:color w:val="auto"/>
        </w:rPr>
      </w:pPr>
    </w:p>
    <w:p>
      <w:pPr>
        <w:ind w:left="580" w:hanging="580"/>
        <w:spacing w:after="0"/>
        <w:tabs>
          <w:tab w:leader="none" w:pos="580" w:val="left"/>
        </w:tabs>
        <w:numPr>
          <w:ilvl w:val="0"/>
          <w:numId w:val="399"/>
        </w:numPr>
        <w:rPr>
          <w:rFonts w:ascii="Calibri" w:cs="Calibri" w:eastAsia="Calibri" w:hAnsi="Calibri"/>
          <w:sz w:val="18"/>
          <w:szCs w:val="18"/>
          <w:color w:val="auto"/>
        </w:rPr>
      </w:pPr>
      <w:r>
        <w:rPr>
          <w:rFonts w:ascii="Calibri" w:cs="Calibri" w:eastAsia="Calibri" w:hAnsi="Calibri"/>
          <w:sz w:val="18"/>
          <w:szCs w:val="18"/>
          <w:color w:val="auto"/>
        </w:rPr>
        <w:t>The Borrower shall, and shall procure that the Owner and any other Security Party shall:</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399"/>
        </w:numPr>
        <w:rPr>
          <w:rFonts w:ascii="Calibri" w:cs="Calibri" w:eastAsia="Calibri" w:hAnsi="Calibri"/>
          <w:sz w:val="18"/>
          <w:szCs w:val="18"/>
          <w:color w:val="auto"/>
        </w:rPr>
      </w:pPr>
      <w:r>
        <w:rPr>
          <w:rFonts w:ascii="Calibri" w:cs="Calibri" w:eastAsia="Calibri" w:hAnsi="Calibri"/>
          <w:sz w:val="18"/>
          <w:szCs w:val="18"/>
          <w:color w:val="auto"/>
        </w:rPr>
        <w:t>provide the Creditor Partes (or any of them) with all informaton deemed, reasonably, necessary by the Creditor Partes (or any of them) for the purposes of any transfer, syndicaton or sub-partcipaton to be efected pursuant to this Clause 26; and</w:t>
      </w:r>
    </w:p>
    <w:p>
      <w:pPr>
        <w:spacing w:after="0" w:line="183" w:lineRule="exact"/>
        <w:rPr>
          <w:rFonts w:ascii="Calibri" w:cs="Calibri" w:eastAsia="Calibri" w:hAnsi="Calibri"/>
          <w:sz w:val="18"/>
          <w:szCs w:val="18"/>
          <w:color w:val="auto"/>
        </w:rPr>
      </w:pPr>
    </w:p>
    <w:p>
      <w:pPr>
        <w:jc w:val="both"/>
        <w:ind w:left="1180" w:hanging="591"/>
        <w:spacing w:after="0" w:line="223" w:lineRule="auto"/>
        <w:tabs>
          <w:tab w:leader="none" w:pos="1180" w:val="left"/>
        </w:tabs>
        <w:numPr>
          <w:ilvl w:val="1"/>
          <w:numId w:val="399"/>
        </w:numPr>
        <w:rPr>
          <w:rFonts w:ascii="Calibri" w:cs="Calibri" w:eastAsia="Calibri" w:hAnsi="Calibri"/>
          <w:sz w:val="18"/>
          <w:szCs w:val="18"/>
          <w:color w:val="auto"/>
        </w:rPr>
      </w:pPr>
      <w:r>
        <w:rPr>
          <w:rFonts w:ascii="Calibri" w:cs="Calibri" w:eastAsia="Calibri" w:hAnsi="Calibri"/>
          <w:sz w:val="18"/>
          <w:szCs w:val="18"/>
          <w:color w:val="auto"/>
        </w:rPr>
        <w:t>procure that the directors of the Borrower, ofcers of the Borrower's general partner, and the directors and ofcers of the Owner or any other Security Party are available to partcipate in any meetng with any Transferee Lender or any ratng agency at such tmes and places as the Creditor Partes may reasonably request on notce (to be served on the Borrower reasonably in advance) to the Borrower, the Owner or that Security Party.</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5" w:name="page236"/>
    <w:bookmarkEnd w:id="235"/>
    <w:p>
      <w:pPr>
        <w:jc w:val="both"/>
        <w:ind w:left="580" w:hanging="580"/>
        <w:spacing w:after="0" w:line="225" w:lineRule="auto"/>
        <w:tabs>
          <w:tab w:leader="none" w:pos="580" w:val="left"/>
        </w:tabs>
        <w:numPr>
          <w:ilvl w:val="0"/>
          <w:numId w:val="400"/>
        </w:numPr>
        <w:rPr>
          <w:rFonts w:ascii="Calibri" w:cs="Calibri" w:eastAsia="Calibri" w:hAnsi="Calibri"/>
          <w:sz w:val="18"/>
          <w:szCs w:val="18"/>
          <w:color w:val="auto"/>
        </w:rPr>
      </w:pPr>
      <w:r>
        <w:rPr>
          <w:rFonts w:ascii="Calibri" w:cs="Calibri" w:eastAsia="Calibri" w:hAnsi="Calibri"/>
          <w:sz w:val="18"/>
          <w:szCs w:val="18"/>
          <w:color w:val="auto"/>
        </w:rPr>
        <w:t>The Borrower shall not and shall ensure that no Security Party will publish any details regarding the Loan or any of the Finance Documents without the prior writen consent of the Agent (excluding any specifc disclosure required to be made by the Borrower in compliance with any law or regulaton applicable to it as a result of its listng on NASDAQ stock exchange).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26.15</w:t>
        <w:tab/>
        <w:t>Change of lending ofce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Lender may change its lending ofce by giving notce to the Agent and the change shall become efectve on the later of:</w:t>
      </w:r>
    </w:p>
    <w:p>
      <w:pPr>
        <w:spacing w:after="0" w:line="181" w:lineRule="exact"/>
        <w:rPr>
          <w:sz w:val="20"/>
          <w:szCs w:val="20"/>
          <w:color w:val="auto"/>
        </w:rPr>
      </w:pPr>
    </w:p>
    <w:p>
      <w:pPr>
        <w:ind w:left="580" w:hanging="580"/>
        <w:spacing w:after="0"/>
        <w:tabs>
          <w:tab w:leader="none" w:pos="580" w:val="left"/>
        </w:tabs>
        <w:numPr>
          <w:ilvl w:val="0"/>
          <w:numId w:val="401"/>
        </w:numPr>
        <w:rPr>
          <w:rFonts w:ascii="Calibri" w:cs="Calibri" w:eastAsia="Calibri" w:hAnsi="Calibri"/>
          <w:sz w:val="18"/>
          <w:szCs w:val="18"/>
          <w:color w:val="auto"/>
        </w:rPr>
      </w:pPr>
      <w:r>
        <w:rPr>
          <w:rFonts w:ascii="Calibri" w:cs="Calibri" w:eastAsia="Calibri" w:hAnsi="Calibri"/>
          <w:sz w:val="18"/>
          <w:szCs w:val="18"/>
          <w:color w:val="auto"/>
        </w:rPr>
        <w:t>the date on which the Agent receives the notce;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01"/>
        </w:numPr>
        <w:rPr>
          <w:rFonts w:ascii="Calibri" w:cs="Calibri" w:eastAsia="Calibri" w:hAnsi="Calibri"/>
          <w:sz w:val="18"/>
          <w:szCs w:val="18"/>
          <w:color w:val="auto"/>
        </w:rPr>
      </w:pPr>
      <w:r>
        <w:rPr>
          <w:rFonts w:ascii="Calibri" w:cs="Calibri" w:eastAsia="Calibri" w:hAnsi="Calibri"/>
          <w:sz w:val="18"/>
          <w:szCs w:val="18"/>
          <w:color w:val="auto"/>
        </w:rPr>
        <w:t>the date, if any, specifed in the notce as the date on which the change will come into efect.</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26.16</w:t>
        <w:tab/>
        <w:t>Notfcaton</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On receiving such a notce, the Agent shall notfy the Borrower and the Security Trustee; and, untl the Agent receives such a notce, it shall be enttled to assume that a Lender is actng through the lending ofce of which the Agent last had notce.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26.17</w:t>
        <w:tab/>
        <w:t>Security over Lenders' rights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In additon to the other rights provided to Lenders under this Clause 26, each Lender may without consultng with or obtaining consent from the Borrower or any Security Party or any Approved Manager, at any tme charge, assign or otherwise create a Security Interest in or over (whether by way of collateral or otherwise) all or any of its rights under any Finance Document to secure obligatons of that Lender including, without limitaton:</w:t>
      </w:r>
    </w:p>
    <w:p>
      <w:pPr>
        <w:spacing w:after="0" w:line="183" w:lineRule="exact"/>
        <w:rPr>
          <w:sz w:val="20"/>
          <w:szCs w:val="20"/>
          <w:color w:val="auto"/>
        </w:rPr>
      </w:pPr>
    </w:p>
    <w:p>
      <w:pPr>
        <w:ind w:left="580" w:hanging="580"/>
        <w:spacing w:after="0"/>
        <w:tabs>
          <w:tab w:leader="none" w:pos="580" w:val="left"/>
        </w:tabs>
        <w:numPr>
          <w:ilvl w:val="0"/>
          <w:numId w:val="402"/>
        </w:numPr>
        <w:rPr>
          <w:rFonts w:ascii="Calibri" w:cs="Calibri" w:eastAsia="Calibri" w:hAnsi="Calibri"/>
          <w:sz w:val="18"/>
          <w:szCs w:val="18"/>
          <w:color w:val="auto"/>
        </w:rPr>
      </w:pPr>
      <w:r>
        <w:rPr>
          <w:rFonts w:ascii="Calibri" w:cs="Calibri" w:eastAsia="Calibri" w:hAnsi="Calibri"/>
          <w:sz w:val="18"/>
          <w:szCs w:val="18"/>
          <w:color w:val="auto"/>
        </w:rPr>
        <w:t>any charge, assignment or other Security Interest to secure obligatons to a federal reserve or central bank;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02"/>
        </w:numPr>
        <w:rPr>
          <w:rFonts w:ascii="Calibri" w:cs="Calibri" w:eastAsia="Calibri" w:hAnsi="Calibri"/>
          <w:sz w:val="18"/>
          <w:szCs w:val="18"/>
          <w:color w:val="auto"/>
        </w:rPr>
      </w:pPr>
      <w:r>
        <w:rPr>
          <w:rFonts w:ascii="Calibri" w:cs="Calibri" w:eastAsia="Calibri" w:hAnsi="Calibri"/>
          <w:sz w:val="18"/>
          <w:szCs w:val="18"/>
          <w:color w:val="auto"/>
        </w:rPr>
        <w:t>in the case of any Lender which is a fund, any charge, assignment or other Security Interest granted to any holders (or trustee or representatves of holders) of obligatons owed, or securites issued, by that Lender as security for those obligatons or securites,</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except that no such charge, assignment or Security Interest shall:</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02"/>
        </w:numPr>
        <w:rPr>
          <w:rFonts w:ascii="Calibri" w:cs="Calibri" w:eastAsia="Calibri" w:hAnsi="Calibri"/>
          <w:sz w:val="18"/>
          <w:szCs w:val="18"/>
          <w:color w:val="auto"/>
        </w:rPr>
      </w:pPr>
      <w:r>
        <w:rPr>
          <w:rFonts w:ascii="Calibri" w:cs="Calibri" w:eastAsia="Calibri" w:hAnsi="Calibri"/>
          <w:sz w:val="18"/>
          <w:szCs w:val="18"/>
          <w:color w:val="auto"/>
        </w:rPr>
        <w:t>release a Lender from any of its obligatons under the Finance Documents or substtute the benefciary of the relevant charge, assignment or Security Interest for the Lender as a party to any of the Finance Documents; or</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02"/>
        </w:numPr>
        <w:rPr>
          <w:rFonts w:ascii="Calibri" w:cs="Calibri" w:eastAsia="Calibri" w:hAnsi="Calibri"/>
          <w:sz w:val="18"/>
          <w:szCs w:val="18"/>
          <w:color w:val="auto"/>
        </w:rPr>
      </w:pPr>
      <w:r>
        <w:rPr>
          <w:rFonts w:ascii="Calibri" w:cs="Calibri" w:eastAsia="Calibri" w:hAnsi="Calibri"/>
          <w:sz w:val="18"/>
          <w:szCs w:val="18"/>
          <w:color w:val="auto"/>
        </w:rPr>
        <w:t>require any payments to be made by the Borrower or any Security Party or grant to any person any more extensive rights than those required to be made or granted to the relevant Lender under the Finance Documents.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26.18</w:t>
        <w:tab/>
        <w:t>Securitsaton</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shall, and the Borrower shall procure that each Security Party and Approved Manager will, assist the Agent and/or any Lender in achieving a successful securitsaton (or similar transacton) in respect of the Loan and the Finance Documents and such Security Party's and such Approved Manager's reasonable costs for providing such assistance shall be met by the relevant Lender. The Borrower, if requested by the Agent, shall provide documentaton evidencing the purchase price of the Ship when acquired by the Borrower.</w:t>
      </w:r>
    </w:p>
    <w:p>
      <w:pPr>
        <w:spacing w:after="0" w:line="185"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36" w:name="page237"/>
    <w:bookmarkEnd w:id="236"/>
    <w:p>
      <w:pPr>
        <w:spacing w:after="0"/>
        <w:tabs>
          <w:tab w:leader="none" w:pos="560" w:val="left"/>
        </w:tabs>
        <w:rPr>
          <w:sz w:val="20"/>
          <w:szCs w:val="20"/>
          <w:color w:val="auto"/>
        </w:rPr>
      </w:pPr>
      <w:r>
        <w:rPr>
          <w:rFonts w:ascii="Calibri" w:cs="Calibri" w:eastAsia="Calibri" w:hAnsi="Calibri"/>
          <w:sz w:val="18"/>
          <w:szCs w:val="18"/>
          <w:b w:val="1"/>
          <w:bCs w:val="1"/>
          <w:color w:val="auto"/>
        </w:rPr>
        <w:t>26.19</w:t>
        <w:tab/>
        <w:t>No additonal costs</w:t>
      </w:r>
    </w:p>
    <w:p>
      <w:pPr>
        <w:spacing w:after="0" w:line="183" w:lineRule="exact"/>
        <w:rPr>
          <w:sz w:val="20"/>
          <w:szCs w:val="20"/>
          <w:color w:val="auto"/>
        </w:rPr>
      </w:pPr>
    </w:p>
    <w:p>
      <w:pPr>
        <w:jc w:val="both"/>
        <w:ind w:left="600"/>
        <w:spacing w:after="0" w:line="236" w:lineRule="auto"/>
        <w:rPr>
          <w:sz w:val="20"/>
          <w:szCs w:val="20"/>
          <w:color w:val="auto"/>
        </w:rPr>
      </w:pPr>
      <w:r>
        <w:rPr>
          <w:rFonts w:ascii="Arial" w:cs="Arial" w:eastAsia="Arial" w:hAnsi="Arial"/>
          <w:sz w:val="18"/>
          <w:szCs w:val="18"/>
          <w:color w:val="auto"/>
        </w:rPr>
        <w:t>If a Transferor Lender assigns or transfers any of its rights or obligatons under the Finance Documents and as a result of circumstances existng at the date the assignment or transfer occurs, the Borrower or a Security Party would be obliged to make a payment to the Transferee Lender under Clause 26.2 or under that clause as incorporated by reference or in full in any other Finance Document, then the Transferee Lender is only enttled to receive payment under that clause to the same extent as the Transferor Lender would have been if the assignment or transfer had not occurred.</w:t>
      </w:r>
    </w:p>
    <w:p>
      <w:pPr>
        <w:spacing w:after="0" w:line="183" w:lineRule="exact"/>
        <w:rPr>
          <w:sz w:val="20"/>
          <w:szCs w:val="20"/>
          <w:color w:val="auto"/>
        </w:rPr>
      </w:pPr>
    </w:p>
    <w:p>
      <w:pPr>
        <w:ind w:left="580" w:hanging="580"/>
        <w:spacing w:after="0"/>
        <w:tabs>
          <w:tab w:leader="none" w:pos="580" w:val="left"/>
        </w:tabs>
        <w:numPr>
          <w:ilvl w:val="0"/>
          <w:numId w:val="40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VARIATIONS AND WAIVERS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40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Required consents</w:t>
      </w:r>
    </w:p>
    <w:p>
      <w:pPr>
        <w:spacing w:after="0" w:line="183" w:lineRule="exact"/>
        <w:rPr>
          <w:sz w:val="20"/>
          <w:szCs w:val="20"/>
          <w:color w:val="auto"/>
        </w:rPr>
      </w:pPr>
    </w:p>
    <w:p>
      <w:pPr>
        <w:ind w:left="580" w:hanging="580"/>
        <w:spacing w:after="0" w:line="244" w:lineRule="auto"/>
        <w:tabs>
          <w:tab w:leader="none" w:pos="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Subject to Clause 27.2 any term of the Finance Documents may be amended or waived only with the consent of the Majority Lenders and the Borrower and any such amendment or waiver will be binding on all Creditor Partes and the Borrower.</w:t>
      </w:r>
    </w:p>
    <w:p>
      <w:pPr>
        <w:spacing w:after="0" w:line="180" w:lineRule="exact"/>
        <w:rPr>
          <w:rFonts w:ascii="Arial" w:cs="Arial" w:eastAsia="Arial" w:hAnsi="Arial"/>
          <w:sz w:val="18"/>
          <w:szCs w:val="18"/>
          <w:color w:val="auto"/>
        </w:rPr>
      </w:pPr>
    </w:p>
    <w:p>
      <w:pPr>
        <w:ind w:left="580" w:hanging="580"/>
        <w:spacing w:after="0"/>
        <w:tabs>
          <w:tab w:leader="none" w:pos="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instructons given by the Majority Lenders will be binding on all the Creditor Partes.</w:t>
      </w:r>
    </w:p>
    <w:p>
      <w:pPr>
        <w:spacing w:after="0" w:line="193" w:lineRule="exact"/>
        <w:rPr>
          <w:rFonts w:ascii="Arial" w:cs="Arial" w:eastAsia="Arial" w:hAnsi="Arial"/>
          <w:sz w:val="18"/>
          <w:szCs w:val="18"/>
          <w:color w:val="auto"/>
        </w:rPr>
      </w:pPr>
    </w:p>
    <w:p>
      <w:pPr>
        <w:ind w:left="580" w:hanging="580"/>
        <w:spacing w:after="0"/>
        <w:tabs>
          <w:tab w:leader="none" w:pos="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Agent may efect, on behalf of any Creditor Party, any amendment or waiver permited by this Clause.</w:t>
      </w:r>
    </w:p>
    <w:p>
      <w:pPr>
        <w:spacing w:after="0" w:line="19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27.2</w:t>
        <w:tab/>
        <w:t>Exceptons</w:t>
      </w:r>
    </w:p>
    <w:p>
      <w:pPr>
        <w:spacing w:after="0" w:line="183" w:lineRule="exact"/>
        <w:rPr>
          <w:sz w:val="20"/>
          <w:szCs w:val="20"/>
          <w:color w:val="auto"/>
        </w:rPr>
      </w:pPr>
    </w:p>
    <w:p>
      <w:pPr>
        <w:ind w:left="580" w:hanging="580"/>
        <w:spacing w:after="0"/>
        <w:tabs>
          <w:tab w:leader="none" w:pos="5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 amendment or waiver that has the efect of changing or which relates to:</w:t>
      </w:r>
    </w:p>
    <w:p>
      <w:pPr>
        <w:spacing w:after="0" w:line="19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defniton of "Majority Lenders" or "Finance Documents" " or "RFR Replacement Event" in Clause 1.1;</w:t>
      </w:r>
    </w:p>
    <w:p>
      <w:pPr>
        <w:spacing w:after="0" w:line="19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3" w:lineRule="exact"/>
        <w:rPr>
          <w:rFonts w:ascii="Arial" w:cs="Arial" w:eastAsia="Arial" w:hAnsi="Arial"/>
          <w:sz w:val="18"/>
          <w:szCs w:val="18"/>
          <w:color w:val="auto"/>
        </w:rPr>
      </w:pPr>
    </w:p>
    <w:p>
      <w:pPr>
        <w:ind w:left="1180" w:hanging="591"/>
        <w:spacing w:after="0" w:line="244" w:lineRule="auto"/>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 reducton in the Margin or a reducton in the amount of any payment of principal, interest fees, commission or other amount payable under any of the Finance Documents;</w:t>
      </w:r>
    </w:p>
    <w:p>
      <w:pPr>
        <w:spacing w:after="0" w:line="180"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 increase in or an extension of any Lender's Commitment;</w:t>
      </w:r>
    </w:p>
    <w:p>
      <w:pPr>
        <w:spacing w:after="0" w:line="19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191"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Clause 3 (</w:t>
      </w:r>
      <w:r>
        <w:rPr>
          <w:rFonts w:ascii="Calibri" w:cs="Calibri" w:eastAsia="Calibri" w:hAnsi="Calibri"/>
          <w:sz w:val="18"/>
          <w:szCs w:val="18"/>
          <w:i w:val="1"/>
          <w:iCs w:val="1"/>
          <w:color w:val="auto"/>
        </w:rPr>
        <w:t>Positon of the Lenders</w:t>
      </w:r>
      <w:r>
        <w:rPr>
          <w:rFonts w:ascii="Arial" w:cs="Arial" w:eastAsia="Arial" w:hAnsi="Arial"/>
          <w:sz w:val="18"/>
          <w:szCs w:val="18"/>
          <w:color w:val="auto"/>
        </w:rPr>
        <w:t>), Clause 11.5, 11.6, 11.7, Clause 11.16, Clause 26 or Clause 27.4 or this Clause 27.2;</w:t>
      </w:r>
    </w:p>
    <w:p>
      <w:pPr>
        <w:spacing w:after="0" w:line="181"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defnitons of "Restricted Party", "Sanctons Authorites" or "Sanctons List" in Clause 1.1 (</w:t>
      </w:r>
      <w:r>
        <w:rPr>
          <w:rFonts w:ascii="Calibri" w:cs="Calibri" w:eastAsia="Calibri" w:hAnsi="Calibri"/>
          <w:sz w:val="18"/>
          <w:szCs w:val="18"/>
          <w:i w:val="1"/>
          <w:iCs w:val="1"/>
          <w:color w:val="auto"/>
        </w:rPr>
        <w:t>Defnitons</w:t>
      </w:r>
      <w:r>
        <w:rPr>
          <w:rFonts w:ascii="Arial" w:cs="Arial" w:eastAsia="Arial" w:hAnsi="Arial"/>
          <w:sz w:val="18"/>
          <w:szCs w:val="18"/>
          <w:color w:val="auto"/>
        </w:rPr>
        <w:t>) or Clause 11.23;</w:t>
      </w:r>
    </w:p>
    <w:p>
      <w:pPr>
        <w:spacing w:after="0" w:line="18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release of any Security Interest, guarantee, indemnites or subordinaton arrangement created by any Finance Document;</w:t>
      </w:r>
    </w:p>
    <w:p>
      <w:pPr>
        <w:spacing w:after="0" w:line="19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change of the currency in which the Loan is provided or any amount is payable under any of the Finance Documents;</w:t>
      </w:r>
    </w:p>
    <w:p>
      <w:pPr>
        <w:spacing w:after="0" w:line="193" w:lineRule="exact"/>
        <w:rPr>
          <w:rFonts w:ascii="Arial" w:cs="Arial" w:eastAsia="Arial" w:hAnsi="Arial"/>
          <w:sz w:val="18"/>
          <w:szCs w:val="18"/>
          <w:color w:val="auto"/>
        </w:rPr>
      </w:pPr>
    </w:p>
    <w:p>
      <w:pPr>
        <w:ind w:left="1180" w:hanging="591"/>
        <w:spacing w:after="0"/>
        <w:tabs>
          <w:tab w:leader="none" w:pos="11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change to the Replacement Reference Rate pursuant to Clause 27‎.4;</w:t>
      </w:r>
    </w:p>
    <w:p>
      <w:pPr>
        <w:spacing w:after="0" w:line="19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7" w:name="page238"/>
    <w:bookmarkEnd w:id="237"/>
    <w:p>
      <w:pPr>
        <w:ind w:left="1180" w:hanging="591"/>
        <w:spacing w:after="0"/>
        <w:tabs>
          <w:tab w:leader="none" w:pos="1180" w:val="left"/>
        </w:tabs>
        <w:numPr>
          <w:ilvl w:val="0"/>
          <w:numId w:val="407"/>
        </w:numPr>
        <w:rPr>
          <w:rFonts w:ascii="Calibri" w:cs="Calibri" w:eastAsia="Calibri" w:hAnsi="Calibri"/>
          <w:sz w:val="18"/>
          <w:szCs w:val="18"/>
          <w:color w:val="auto"/>
        </w:rPr>
      </w:pPr>
      <w:r>
        <w:rPr>
          <w:rFonts w:ascii="Calibri" w:cs="Calibri" w:eastAsia="Calibri" w:hAnsi="Calibri"/>
          <w:sz w:val="18"/>
          <w:szCs w:val="18"/>
          <w:color w:val="auto"/>
        </w:rPr>
        <w:t>an extension of the Availability Period in relaton to the Loan;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0"/>
          <w:numId w:val="407"/>
        </w:numPr>
        <w:rPr>
          <w:rFonts w:ascii="Calibri" w:cs="Calibri" w:eastAsia="Calibri" w:hAnsi="Calibri"/>
          <w:sz w:val="18"/>
          <w:szCs w:val="18"/>
          <w:color w:val="auto"/>
        </w:rPr>
      </w:pPr>
      <w:r>
        <w:rPr>
          <w:rFonts w:ascii="Calibri" w:cs="Calibri" w:eastAsia="Calibri" w:hAnsi="Calibri"/>
          <w:sz w:val="18"/>
          <w:szCs w:val="18"/>
          <w:color w:val="auto"/>
        </w:rPr>
        <w:t>a change in Clauses 16.4 or 22,</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may not be efected without the prior writen consent of all Lenders.</w:t>
      </w:r>
    </w:p>
    <w:p>
      <w:pPr>
        <w:spacing w:after="0" w:line="183" w:lineRule="exact"/>
        <w:rPr>
          <w:sz w:val="20"/>
          <w:szCs w:val="20"/>
          <w:color w:val="auto"/>
        </w:rPr>
      </w:pPr>
    </w:p>
    <w:p>
      <w:pPr>
        <w:ind w:left="580" w:hanging="580"/>
        <w:spacing w:after="0" w:line="228" w:lineRule="auto"/>
        <w:tabs>
          <w:tab w:leader="none" w:pos="580" w:val="left"/>
        </w:tabs>
        <w:numPr>
          <w:ilvl w:val="0"/>
          <w:numId w:val="408"/>
        </w:numPr>
        <w:rPr>
          <w:rFonts w:ascii="Calibri" w:cs="Calibri" w:eastAsia="Calibri" w:hAnsi="Calibri"/>
          <w:sz w:val="18"/>
          <w:szCs w:val="18"/>
          <w:color w:val="auto"/>
        </w:rPr>
      </w:pPr>
      <w:r>
        <w:rPr>
          <w:rFonts w:ascii="Calibri" w:cs="Calibri" w:eastAsia="Calibri" w:hAnsi="Calibri"/>
          <w:sz w:val="18"/>
          <w:szCs w:val="18"/>
          <w:color w:val="auto"/>
        </w:rPr>
        <w:t>An amendment or waiver which relates to the rights or obligatons of the Agent, a Mandated Lead Arranger or the Security Trustee may not be efected without the consent of the Agent, that Mandated Lead Arranger or the Security Trustee, as the case may be.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08"/>
        </w:numPr>
        <w:rPr>
          <w:rFonts w:ascii="Calibri" w:cs="Calibri" w:eastAsia="Calibri" w:hAnsi="Calibri"/>
          <w:sz w:val="18"/>
          <w:szCs w:val="18"/>
          <w:color w:val="auto"/>
        </w:rPr>
      </w:pPr>
      <w:r>
        <w:rPr>
          <w:rFonts w:ascii="Calibri" w:cs="Calibri" w:eastAsia="Calibri" w:hAnsi="Calibri"/>
          <w:sz w:val="18"/>
          <w:szCs w:val="18"/>
          <w:color w:val="auto"/>
        </w:rPr>
        <w:t>The Borrower and a Creditor Party may amend or waive a term of a Fee Leter to which they are party.</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27.3</w:t>
        <w:tab/>
        <w:t>Exclusion of other or implied variatons</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Except for a document which satsfes the requirements of Clauses 27.1 and 27.2, no document, and, subject to Clause 27.4, no act, course of conduct, failure or neglect to act, delay or acquiescence on the part of the Creditor Partes or any of them (or any person actng on behalf of any of them) shall result in the Creditor Partes or any of them (or any person actng on behalf of any of them) being taken to have varied, waived, suspended or limited, or being precluded (permanently or temporarily) from enforcing, relying on or exercising:</w:t>
      </w:r>
    </w:p>
    <w:p>
      <w:pPr>
        <w:spacing w:after="0" w:line="183" w:lineRule="exact"/>
        <w:rPr>
          <w:sz w:val="20"/>
          <w:szCs w:val="20"/>
          <w:color w:val="auto"/>
        </w:rPr>
      </w:pPr>
    </w:p>
    <w:p>
      <w:pPr>
        <w:ind w:left="580" w:hanging="580"/>
        <w:spacing w:after="0"/>
        <w:tabs>
          <w:tab w:leader="none" w:pos="580" w:val="left"/>
        </w:tabs>
        <w:numPr>
          <w:ilvl w:val="0"/>
          <w:numId w:val="409"/>
        </w:numPr>
        <w:rPr>
          <w:rFonts w:ascii="Calibri" w:cs="Calibri" w:eastAsia="Calibri" w:hAnsi="Calibri"/>
          <w:sz w:val="18"/>
          <w:szCs w:val="18"/>
          <w:color w:val="auto"/>
        </w:rPr>
      </w:pPr>
      <w:r>
        <w:rPr>
          <w:rFonts w:ascii="Calibri" w:cs="Calibri" w:eastAsia="Calibri" w:hAnsi="Calibri"/>
          <w:sz w:val="18"/>
          <w:szCs w:val="18"/>
          <w:color w:val="auto"/>
        </w:rPr>
        <w:t>a provision of this Agreement or another Finance Document;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09"/>
        </w:numPr>
        <w:rPr>
          <w:rFonts w:ascii="Calibri" w:cs="Calibri" w:eastAsia="Calibri" w:hAnsi="Calibri"/>
          <w:sz w:val="18"/>
          <w:szCs w:val="18"/>
          <w:color w:val="auto"/>
        </w:rPr>
      </w:pPr>
      <w:r>
        <w:rPr>
          <w:rFonts w:ascii="Calibri" w:cs="Calibri" w:eastAsia="Calibri" w:hAnsi="Calibri"/>
          <w:sz w:val="18"/>
          <w:szCs w:val="18"/>
          <w:color w:val="auto"/>
        </w:rPr>
        <w:t>an Event of Default;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09"/>
        </w:numPr>
        <w:rPr>
          <w:rFonts w:ascii="Calibri" w:cs="Calibri" w:eastAsia="Calibri" w:hAnsi="Calibri"/>
          <w:sz w:val="18"/>
          <w:szCs w:val="18"/>
          <w:color w:val="auto"/>
        </w:rPr>
      </w:pPr>
      <w:r>
        <w:rPr>
          <w:rFonts w:ascii="Calibri" w:cs="Calibri" w:eastAsia="Calibri" w:hAnsi="Calibri"/>
          <w:sz w:val="18"/>
          <w:szCs w:val="18"/>
          <w:color w:val="auto"/>
        </w:rPr>
        <w:t>a breach by the Borrower or a Security Party of an obligaton under a Finance Document or the general law;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09"/>
        </w:numPr>
        <w:rPr>
          <w:rFonts w:ascii="Calibri" w:cs="Calibri" w:eastAsia="Calibri" w:hAnsi="Calibri"/>
          <w:sz w:val="18"/>
          <w:szCs w:val="18"/>
          <w:color w:val="auto"/>
        </w:rPr>
      </w:pPr>
      <w:r>
        <w:rPr>
          <w:rFonts w:ascii="Calibri" w:cs="Calibri" w:eastAsia="Calibri" w:hAnsi="Calibri"/>
          <w:sz w:val="18"/>
          <w:szCs w:val="18"/>
          <w:color w:val="auto"/>
        </w:rPr>
        <w:t>any right or remedy conferred by any Finance Document or by the general law,</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and there shall not be implied into any Finance Document any term or conditon requiring any such provision to be enforced, or such right or remedy to be exercised, within a certain or reasonable tme.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27.4</w:t>
        <w:tab/>
        <w:t>Changes to reference rates</w:t>
      </w:r>
    </w:p>
    <w:p>
      <w:pPr>
        <w:spacing w:after="0" w:line="181" w:lineRule="exact"/>
        <w:rPr>
          <w:sz w:val="20"/>
          <w:szCs w:val="20"/>
          <w:color w:val="auto"/>
        </w:rPr>
      </w:pPr>
    </w:p>
    <w:p>
      <w:pPr>
        <w:ind w:left="580" w:hanging="580"/>
        <w:spacing w:after="0"/>
        <w:tabs>
          <w:tab w:leader="none" w:pos="580" w:val="left"/>
        </w:tabs>
        <w:numPr>
          <w:ilvl w:val="0"/>
          <w:numId w:val="410"/>
        </w:numPr>
        <w:rPr>
          <w:rFonts w:ascii="Calibri" w:cs="Calibri" w:eastAsia="Calibri" w:hAnsi="Calibri"/>
          <w:sz w:val="18"/>
          <w:szCs w:val="18"/>
          <w:color w:val="auto"/>
        </w:rPr>
      </w:pPr>
      <w:r>
        <w:rPr>
          <w:rFonts w:ascii="Calibri" w:cs="Calibri" w:eastAsia="Calibri" w:hAnsi="Calibri"/>
          <w:sz w:val="18"/>
          <w:szCs w:val="18"/>
          <w:color w:val="auto"/>
        </w:rPr>
        <w:t>If a RFR Replacement Event has occurred in relaton to the RFR, the Agent (actng on the instructons of all Lenders) shall be enttled to:</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10"/>
        </w:numPr>
        <w:rPr>
          <w:rFonts w:ascii="Calibri" w:cs="Calibri" w:eastAsia="Calibri" w:hAnsi="Calibri"/>
          <w:sz w:val="18"/>
          <w:szCs w:val="18"/>
          <w:color w:val="auto"/>
        </w:rPr>
      </w:pPr>
      <w:r>
        <w:rPr>
          <w:rFonts w:ascii="Calibri" w:cs="Calibri" w:eastAsia="Calibri" w:hAnsi="Calibri"/>
          <w:sz w:val="18"/>
          <w:szCs w:val="18"/>
          <w:color w:val="auto"/>
        </w:rPr>
        <w:t>replace the RFR with a Replacement Reference Rate;</w:t>
      </w:r>
    </w:p>
    <w:p>
      <w:pPr>
        <w:spacing w:after="0" w:line="183" w:lineRule="exact"/>
        <w:rPr>
          <w:rFonts w:ascii="Calibri" w:cs="Calibri" w:eastAsia="Calibri" w:hAnsi="Calibri"/>
          <w:sz w:val="18"/>
          <w:szCs w:val="18"/>
          <w:color w:val="auto"/>
        </w:rPr>
      </w:pPr>
    </w:p>
    <w:p>
      <w:pPr>
        <w:jc w:val="both"/>
        <w:ind w:left="1180" w:hanging="591"/>
        <w:spacing w:after="0" w:line="222" w:lineRule="auto"/>
        <w:tabs>
          <w:tab w:leader="none" w:pos="1180" w:val="left"/>
        </w:tabs>
        <w:numPr>
          <w:ilvl w:val="1"/>
          <w:numId w:val="410"/>
        </w:numPr>
        <w:rPr>
          <w:rFonts w:ascii="Calibri" w:cs="Calibri" w:eastAsia="Calibri" w:hAnsi="Calibri"/>
          <w:sz w:val="18"/>
          <w:szCs w:val="18"/>
          <w:color w:val="auto"/>
        </w:rPr>
      </w:pPr>
      <w:r>
        <w:rPr>
          <w:rFonts w:ascii="Calibri" w:cs="Calibri" w:eastAsia="Calibri" w:hAnsi="Calibri"/>
          <w:sz w:val="18"/>
          <w:szCs w:val="18"/>
          <w:color w:val="auto"/>
        </w:rPr>
        <w:t>adjust the pricing on the Replacement Reference Rate by the amendment of the Margin or otherwise, in each case at its discreton, to reduce or eliminate, to the extent reasonably practcable, any transfer of economic value from one Party to another as a result of the applicaton of that Replacement Reference Rate (and if any adjustment or method for calculatng any adjustment has been formally designated, nominated or recommended by the Relevant Nominatng Body, the adjustment shall be determined on the basis of that designaton, nominaton or recommendaton); and</w:t>
      </w:r>
    </w:p>
    <w:p>
      <w:pPr>
        <w:spacing w:after="0" w:line="184" w:lineRule="exact"/>
        <w:rPr>
          <w:rFonts w:ascii="Calibri" w:cs="Calibri" w:eastAsia="Calibri" w:hAnsi="Calibri"/>
          <w:sz w:val="18"/>
          <w:szCs w:val="18"/>
          <w:color w:val="auto"/>
        </w:rPr>
      </w:pPr>
    </w:p>
    <w:p>
      <w:pPr>
        <w:ind w:left="1180" w:hanging="591"/>
        <w:spacing w:after="0"/>
        <w:tabs>
          <w:tab w:leader="none" w:pos="1180" w:val="left"/>
        </w:tabs>
        <w:numPr>
          <w:ilvl w:val="1"/>
          <w:numId w:val="410"/>
        </w:numPr>
        <w:rPr>
          <w:rFonts w:ascii="Calibri" w:cs="Calibri" w:eastAsia="Calibri" w:hAnsi="Calibri"/>
          <w:sz w:val="18"/>
          <w:szCs w:val="18"/>
          <w:color w:val="auto"/>
        </w:rPr>
      </w:pPr>
      <w:r>
        <w:rPr>
          <w:rFonts w:ascii="Calibri" w:cs="Calibri" w:eastAsia="Calibri" w:hAnsi="Calibri"/>
          <w:sz w:val="18"/>
          <w:szCs w:val="18"/>
          <w:color w:val="auto"/>
        </w:rPr>
        <w:t>amend this Agreement for the purpose of any of:</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2"/>
          <w:numId w:val="410"/>
        </w:numPr>
        <w:rPr>
          <w:rFonts w:ascii="Calibri" w:cs="Calibri" w:eastAsia="Calibri" w:hAnsi="Calibri"/>
          <w:sz w:val="18"/>
          <w:szCs w:val="18"/>
          <w:color w:val="auto"/>
        </w:rPr>
      </w:pPr>
      <w:r>
        <w:rPr>
          <w:rFonts w:ascii="Calibri" w:cs="Calibri" w:eastAsia="Calibri" w:hAnsi="Calibri"/>
          <w:sz w:val="18"/>
          <w:szCs w:val="18"/>
          <w:color w:val="auto"/>
        </w:rPr>
        <w:t>providing for the use of a Replacement Reference Rate in place of the RFR;</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38" w:name="page239"/>
    <w:bookmarkEnd w:id="238"/>
    <w:p>
      <w:pPr>
        <w:ind w:left="1760" w:hanging="582"/>
        <w:spacing w:after="0"/>
        <w:tabs>
          <w:tab w:leader="none" w:pos="1760" w:val="left"/>
        </w:tabs>
        <w:numPr>
          <w:ilvl w:val="1"/>
          <w:numId w:val="411"/>
        </w:numPr>
        <w:rPr>
          <w:rFonts w:ascii="Calibri" w:cs="Calibri" w:eastAsia="Calibri" w:hAnsi="Calibri"/>
          <w:sz w:val="18"/>
          <w:szCs w:val="18"/>
          <w:color w:val="auto"/>
        </w:rPr>
      </w:pPr>
      <w:r>
        <w:rPr>
          <w:rFonts w:ascii="Calibri" w:cs="Calibri" w:eastAsia="Calibri" w:hAnsi="Calibri"/>
          <w:sz w:val="18"/>
          <w:szCs w:val="18"/>
          <w:color w:val="auto"/>
        </w:rPr>
        <w:t>aligning any provision of any Finance Document to the use of that Replacement Reference Rate;</w:t>
      </w:r>
    </w:p>
    <w:p>
      <w:pPr>
        <w:spacing w:after="0" w:line="183" w:lineRule="exact"/>
        <w:rPr>
          <w:rFonts w:ascii="Calibri" w:cs="Calibri" w:eastAsia="Calibri" w:hAnsi="Calibri"/>
          <w:sz w:val="18"/>
          <w:szCs w:val="18"/>
          <w:color w:val="auto"/>
        </w:rPr>
      </w:pPr>
    </w:p>
    <w:p>
      <w:pPr>
        <w:jc w:val="both"/>
        <w:ind w:left="1760" w:hanging="582"/>
        <w:spacing w:after="0" w:line="225" w:lineRule="auto"/>
        <w:tabs>
          <w:tab w:leader="none" w:pos="1760" w:val="left"/>
        </w:tabs>
        <w:numPr>
          <w:ilvl w:val="1"/>
          <w:numId w:val="411"/>
        </w:numPr>
        <w:rPr>
          <w:rFonts w:ascii="Calibri" w:cs="Calibri" w:eastAsia="Calibri" w:hAnsi="Calibri"/>
          <w:sz w:val="18"/>
          <w:szCs w:val="18"/>
          <w:color w:val="auto"/>
        </w:rPr>
      </w:pPr>
      <w:r>
        <w:rPr>
          <w:rFonts w:ascii="Calibri" w:cs="Calibri" w:eastAsia="Calibri" w:hAnsi="Calibri"/>
          <w:sz w:val="18"/>
          <w:szCs w:val="18"/>
          <w:color w:val="auto"/>
        </w:rPr>
        <w:t>enabling that Replacement Reference Rate to be used for the calculaton of interest under this Agreement (including, without limitaton, any consequental changes required to enable that Replacement Reference Rate to be used for the purposes of this Agreement);</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1"/>
          <w:numId w:val="411"/>
        </w:numPr>
        <w:rPr>
          <w:rFonts w:ascii="Calibri" w:cs="Calibri" w:eastAsia="Calibri" w:hAnsi="Calibri"/>
          <w:sz w:val="18"/>
          <w:szCs w:val="18"/>
          <w:color w:val="auto"/>
        </w:rPr>
      </w:pPr>
      <w:r>
        <w:rPr>
          <w:rFonts w:ascii="Calibri" w:cs="Calibri" w:eastAsia="Calibri" w:hAnsi="Calibri"/>
          <w:sz w:val="18"/>
          <w:szCs w:val="18"/>
          <w:color w:val="auto"/>
        </w:rPr>
        <w:t>implementng market conventons applicable to that Replacement Reference Rate;</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1"/>
          <w:numId w:val="411"/>
        </w:numPr>
        <w:rPr>
          <w:rFonts w:ascii="Calibri" w:cs="Calibri" w:eastAsia="Calibri" w:hAnsi="Calibri"/>
          <w:sz w:val="18"/>
          <w:szCs w:val="18"/>
          <w:color w:val="auto"/>
        </w:rPr>
      </w:pPr>
      <w:r>
        <w:rPr>
          <w:rFonts w:ascii="Calibri" w:cs="Calibri" w:eastAsia="Calibri" w:hAnsi="Calibri"/>
          <w:sz w:val="18"/>
          <w:szCs w:val="18"/>
          <w:color w:val="auto"/>
        </w:rPr>
        <w:t>providing for appropriate fallback (and market disrupton) provisions for that Replacement Reference Rate; or</w:t>
      </w:r>
    </w:p>
    <w:p>
      <w:pPr>
        <w:spacing w:after="0" w:line="181" w:lineRule="exact"/>
        <w:rPr>
          <w:rFonts w:ascii="Calibri" w:cs="Calibri" w:eastAsia="Calibri" w:hAnsi="Calibri"/>
          <w:sz w:val="18"/>
          <w:szCs w:val="18"/>
          <w:color w:val="auto"/>
        </w:rPr>
      </w:pPr>
    </w:p>
    <w:p>
      <w:pPr>
        <w:ind w:left="1760" w:hanging="582"/>
        <w:spacing w:after="0"/>
        <w:tabs>
          <w:tab w:leader="none" w:pos="1760" w:val="left"/>
        </w:tabs>
        <w:numPr>
          <w:ilvl w:val="1"/>
          <w:numId w:val="411"/>
        </w:numPr>
        <w:rPr>
          <w:rFonts w:ascii="Calibri" w:cs="Calibri" w:eastAsia="Calibri" w:hAnsi="Calibri"/>
          <w:sz w:val="18"/>
          <w:szCs w:val="18"/>
          <w:color w:val="auto"/>
        </w:rPr>
      </w:pPr>
      <w:r>
        <w:rPr>
          <w:rFonts w:ascii="Calibri" w:cs="Calibri" w:eastAsia="Calibri" w:hAnsi="Calibri"/>
          <w:sz w:val="18"/>
          <w:szCs w:val="18"/>
          <w:color w:val="auto"/>
        </w:rPr>
        <w:t>adjustng the pricing in accordance with paragraph (ii) above.</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412"/>
        </w:numPr>
        <w:rPr>
          <w:rFonts w:ascii="Calibri" w:cs="Calibri" w:eastAsia="Calibri" w:hAnsi="Calibri"/>
          <w:sz w:val="18"/>
          <w:szCs w:val="18"/>
          <w:color w:val="auto"/>
        </w:rPr>
      </w:pPr>
      <w:r>
        <w:rPr>
          <w:rFonts w:ascii="Calibri" w:cs="Calibri" w:eastAsia="Calibri" w:hAnsi="Calibri"/>
          <w:sz w:val="18"/>
          <w:szCs w:val="18"/>
          <w:color w:val="auto"/>
        </w:rPr>
        <w:t>The Agent shall promptly notfy the Borrower and each Creditor Party of any replacement of the RFR, any adjustment of pricing and any amendment of this Agreement made pursuant to paragraph (a) above, which shall take efect immediately as from (and including) the date specifed in such notfcaton.</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412"/>
        </w:numPr>
        <w:rPr>
          <w:rFonts w:ascii="Calibri" w:cs="Calibri" w:eastAsia="Calibri" w:hAnsi="Calibri"/>
          <w:sz w:val="18"/>
          <w:szCs w:val="18"/>
          <w:color w:val="auto"/>
        </w:rPr>
      </w:pPr>
      <w:r>
        <w:rPr>
          <w:rFonts w:ascii="Calibri" w:cs="Calibri" w:eastAsia="Calibri" w:hAnsi="Calibri"/>
          <w:sz w:val="18"/>
          <w:szCs w:val="18"/>
          <w:color w:val="auto"/>
        </w:rPr>
        <w:t>If required by the Agent (actng on the instructons of all Lenders), the Borrower shall (and shall procure that each other Security Party and Approved Manager shall) enter into such supplemental, replacement or other agreement in relaton to any Finance Document as the Agent may specify to extend the efect of any of the amendments referred to in paragraph (a) above to such Finance Document.</w:t>
      </w:r>
    </w:p>
    <w:p>
      <w:pPr>
        <w:spacing w:after="0" w:line="184" w:lineRule="exact"/>
        <w:rPr>
          <w:sz w:val="20"/>
          <w:szCs w:val="20"/>
          <w:color w:val="auto"/>
        </w:rPr>
      </w:pPr>
    </w:p>
    <w:p>
      <w:pPr>
        <w:ind w:left="600" w:hanging="600"/>
        <w:spacing w:after="0" w:line="228" w:lineRule="auto"/>
        <w:tabs>
          <w:tab w:leader="none" w:pos="600" w:val="left"/>
        </w:tabs>
        <w:numPr>
          <w:ilvl w:val="0"/>
          <w:numId w:val="413"/>
        </w:numPr>
        <w:rPr>
          <w:rFonts w:ascii="Calibri" w:cs="Calibri" w:eastAsia="Calibri" w:hAnsi="Calibri"/>
          <w:sz w:val="18"/>
          <w:szCs w:val="18"/>
          <w:color w:val="auto"/>
        </w:rPr>
      </w:pPr>
      <w:r>
        <w:rPr>
          <w:rFonts w:ascii="Calibri" w:cs="Calibri" w:eastAsia="Calibri" w:hAnsi="Calibri"/>
          <w:sz w:val="18"/>
          <w:szCs w:val="18"/>
          <w:color w:val="auto"/>
        </w:rPr>
        <w:t>An amendment or waiver that relates to, or has the efect of, aligning the means of calculaton of interest on the Loan under this Agreement to any recommendaton of a Relevant Nominatng Body which:</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13"/>
        </w:numPr>
        <w:rPr>
          <w:rFonts w:ascii="Calibri" w:cs="Calibri" w:eastAsia="Calibri" w:hAnsi="Calibri"/>
          <w:sz w:val="18"/>
          <w:szCs w:val="18"/>
          <w:color w:val="auto"/>
        </w:rPr>
      </w:pPr>
      <w:r>
        <w:rPr>
          <w:rFonts w:ascii="Calibri" w:cs="Calibri" w:eastAsia="Calibri" w:hAnsi="Calibri"/>
          <w:sz w:val="18"/>
          <w:szCs w:val="18"/>
          <w:color w:val="auto"/>
        </w:rPr>
        <w:t>relates to the use of the RFR on a compounded basis in the internatonal or any relevant domestc syndicated loan markets;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13"/>
        </w:numPr>
        <w:rPr>
          <w:rFonts w:ascii="Calibri" w:cs="Calibri" w:eastAsia="Calibri" w:hAnsi="Calibri"/>
          <w:sz w:val="18"/>
          <w:szCs w:val="18"/>
          <w:color w:val="auto"/>
        </w:rPr>
      </w:pPr>
      <w:r>
        <w:rPr>
          <w:rFonts w:ascii="Calibri" w:cs="Calibri" w:eastAsia="Calibri" w:hAnsi="Calibri"/>
          <w:sz w:val="18"/>
          <w:szCs w:val="18"/>
          <w:color w:val="auto"/>
        </w:rPr>
        <w:t>is issued on or afer the date of this Agreement,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may be made with the consent of the Agent (actng on the instructons of the Lenders).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27.5</w:t>
        <w:tab/>
        <w:t>Deemed consent</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With respect to:</w:t>
      </w:r>
    </w:p>
    <w:p>
      <w:pPr>
        <w:spacing w:after="0" w:line="183" w:lineRule="exact"/>
        <w:rPr>
          <w:sz w:val="20"/>
          <w:szCs w:val="20"/>
          <w:color w:val="auto"/>
        </w:rPr>
      </w:pPr>
    </w:p>
    <w:p>
      <w:pPr>
        <w:ind w:left="580" w:hanging="580"/>
        <w:spacing w:after="0" w:line="228" w:lineRule="auto"/>
        <w:tabs>
          <w:tab w:leader="none" w:pos="580" w:val="left"/>
        </w:tabs>
        <w:numPr>
          <w:ilvl w:val="0"/>
          <w:numId w:val="414"/>
        </w:numPr>
        <w:rPr>
          <w:rFonts w:ascii="Calibri" w:cs="Calibri" w:eastAsia="Calibri" w:hAnsi="Calibri"/>
          <w:sz w:val="18"/>
          <w:szCs w:val="18"/>
          <w:color w:val="auto"/>
        </w:rPr>
      </w:pPr>
      <w:r>
        <w:rPr>
          <w:rFonts w:ascii="Calibri" w:cs="Calibri" w:eastAsia="Calibri" w:hAnsi="Calibri"/>
          <w:sz w:val="18"/>
          <w:szCs w:val="18"/>
          <w:color w:val="auto"/>
        </w:rPr>
        <w:t>the replacement of the RFR with a Replacement Reference Rate in accordance with sub-paragraph (i) of paragraph (a) of Clause 27.4 (and the designaton of such benchmark as permited under sub-paragraphs (b) and (c) of the defniton of "Replacement Reference Rate");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14"/>
        </w:numPr>
        <w:rPr>
          <w:rFonts w:ascii="Calibri" w:cs="Calibri" w:eastAsia="Calibri" w:hAnsi="Calibri"/>
          <w:sz w:val="18"/>
          <w:szCs w:val="18"/>
          <w:color w:val="auto"/>
        </w:rPr>
      </w:pPr>
      <w:r>
        <w:rPr>
          <w:rFonts w:ascii="Calibri" w:cs="Calibri" w:eastAsia="Calibri" w:hAnsi="Calibri"/>
          <w:sz w:val="18"/>
          <w:szCs w:val="18"/>
          <w:color w:val="auto"/>
        </w:rPr>
        <w:t>the adjustment of pricing in accordance with sub-paragraph (ii) of paragraph (a) Clause 27.4;</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14"/>
        </w:numPr>
        <w:rPr>
          <w:rFonts w:ascii="Calibri" w:cs="Calibri" w:eastAsia="Calibri" w:hAnsi="Calibri"/>
          <w:sz w:val="18"/>
          <w:szCs w:val="18"/>
          <w:color w:val="auto"/>
        </w:rPr>
      </w:pPr>
      <w:r>
        <w:rPr>
          <w:rFonts w:ascii="Calibri" w:cs="Calibri" w:eastAsia="Calibri" w:hAnsi="Calibri"/>
          <w:sz w:val="18"/>
          <w:szCs w:val="18"/>
          <w:color w:val="auto"/>
        </w:rPr>
        <w:t>any amendment of any Finance Document as contemplated in sub-paragraph (iii) of paragraph (a) of Clause 27.4; and</w:t>
      </w:r>
    </w:p>
    <w:p>
      <w:pPr>
        <w:spacing w:after="0" w:line="182"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39" w:name="page240"/>
    <w:bookmarkEnd w:id="239"/>
    <w:p>
      <w:pPr>
        <w:ind w:left="580" w:hanging="580"/>
        <w:spacing w:after="0" w:line="228" w:lineRule="auto"/>
        <w:tabs>
          <w:tab w:leader="none" w:pos="580" w:val="left"/>
        </w:tabs>
        <w:numPr>
          <w:ilvl w:val="0"/>
          <w:numId w:val="415"/>
        </w:numPr>
        <w:rPr>
          <w:rFonts w:ascii="Calibri" w:cs="Calibri" w:eastAsia="Calibri" w:hAnsi="Calibri"/>
          <w:sz w:val="18"/>
          <w:szCs w:val="18"/>
          <w:color w:val="auto"/>
        </w:rPr>
      </w:pPr>
      <w:r>
        <w:rPr>
          <w:rFonts w:ascii="Calibri" w:cs="Calibri" w:eastAsia="Calibri" w:hAnsi="Calibri"/>
          <w:sz w:val="18"/>
          <w:szCs w:val="18"/>
          <w:color w:val="auto"/>
        </w:rPr>
        <w:t>any other amendment, variaton, waiver, suspension or limit requested by a Borrower or any Security Party which requires the approval of all the Lenders or the Majority Lenders (as the case may be),</w:t>
      </w:r>
    </w:p>
    <w:p>
      <w:pPr>
        <w:spacing w:after="0" w:line="184"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Agent shall provide each Lender with writen notce of such request accompanied by such detailed background informaton as may be reasonably necessary (in the opinion of the Agent) to determine whether to approve such acton. A Lender shall be deemed to have approved such acton if such Lender fails to object to such acton by writen notce to the Agent within 10 days of that Lender's receipt of the Agent's notce or such other tme as the Agent may state in the relevant notce as being the tme available for approval of such acton.</w:t>
      </w:r>
    </w:p>
    <w:p>
      <w:pPr>
        <w:spacing w:after="0" w:line="183" w:lineRule="exact"/>
        <w:rPr>
          <w:sz w:val="20"/>
          <w:szCs w:val="20"/>
          <w:color w:val="auto"/>
        </w:rPr>
      </w:pPr>
    </w:p>
    <w:p>
      <w:pPr>
        <w:ind w:left="580" w:hanging="580"/>
        <w:spacing w:after="0"/>
        <w:tabs>
          <w:tab w:leader="none" w:pos="580" w:val="left"/>
        </w:tabs>
        <w:numPr>
          <w:ilvl w:val="0"/>
          <w:numId w:val="4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NOTICES</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41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General</w:t>
      </w:r>
    </w:p>
    <w:p>
      <w:pPr>
        <w:spacing w:after="0" w:line="183"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Unless otherwise specifcally provided, any notce under or in connecton with any Finance Document shall be given by leter or fax; and references in the Finance Documents to writen notces, notces in writng and notces signed by partcular persons shall be construed accordingly.</w:t>
      </w:r>
    </w:p>
    <w:p>
      <w:pPr>
        <w:spacing w:after="0" w:line="360"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28.2</w:t>
        <w:tab/>
        <w:t>Addresses for communicatons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notce by leter or fax shall be sent:</w:t>
      </w:r>
    </w:p>
    <w:p>
      <w:pPr>
        <w:sectPr>
          <w:pgSz w:w="11900" w:h="16838" w:orient="portrait"/>
          <w:cols w:equalWidth="0" w:num="1">
            <w:col w:w="11240"/>
          </w:cols>
          <w:pgMar w:left="320" w:top="429" w:right="339" w:bottom="1440" w:gutter="0" w:footer="0" w:header="0"/>
        </w:sectPr>
      </w:pPr>
    </w:p>
    <w:p>
      <w:pPr>
        <w:spacing w:after="0" w:line="181" w:lineRule="exact"/>
        <w:rPr>
          <w:sz w:val="20"/>
          <w:szCs w:val="20"/>
          <w:color w:val="auto"/>
        </w:rPr>
      </w:pPr>
    </w:p>
    <w:p>
      <w:pPr>
        <w:ind w:left="80"/>
        <w:spacing w:after="0"/>
        <w:tabs>
          <w:tab w:leader="none" w:pos="660" w:val="left"/>
        </w:tabs>
        <w:rPr>
          <w:sz w:val="20"/>
          <w:szCs w:val="20"/>
          <w:color w:val="auto"/>
        </w:rPr>
      </w:pPr>
      <w:r>
        <w:rPr>
          <w:rFonts w:ascii="Calibri" w:cs="Calibri" w:eastAsia="Calibri" w:hAnsi="Calibri"/>
          <w:sz w:val="18"/>
          <w:szCs w:val="18"/>
          <w:color w:val="auto"/>
        </w:rPr>
        <w:t>(a)</w:t>
      </w:r>
      <w:r>
        <w:rPr>
          <w:sz w:val="20"/>
          <w:szCs w:val="20"/>
          <w:color w:val="auto"/>
        </w:rPr>
        <w:tab/>
      </w:r>
      <w:r>
        <w:rPr>
          <w:rFonts w:ascii="Calibri" w:cs="Calibri" w:eastAsia="Calibri" w:hAnsi="Calibri"/>
          <w:sz w:val="18"/>
          <w:szCs w:val="18"/>
          <w:color w:val="auto"/>
        </w:rPr>
        <w:t>to the Borrower: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auto"/>
        </w:rPr>
        <w:t>c/o Capital-Executve Ship Management Corp.</w:t>
      </w:r>
    </w:p>
    <w:p>
      <w:pPr>
        <w:spacing w:after="0" w:line="218" w:lineRule="auto"/>
        <w:rPr>
          <w:sz w:val="20"/>
          <w:szCs w:val="20"/>
          <w:color w:val="auto"/>
        </w:rPr>
      </w:pPr>
      <w:r>
        <w:rPr>
          <w:rFonts w:ascii="Calibri" w:cs="Calibri" w:eastAsia="Calibri" w:hAnsi="Calibri"/>
          <w:sz w:val="18"/>
          <w:szCs w:val="18"/>
          <w:color w:val="auto"/>
        </w:rPr>
        <w:t>3, Iassonos Street</w:t>
      </w:r>
    </w:p>
    <w:p>
      <w:pPr>
        <w:spacing w:after="0" w:line="219" w:lineRule="auto"/>
        <w:rPr>
          <w:sz w:val="20"/>
          <w:szCs w:val="20"/>
          <w:color w:val="auto"/>
        </w:rPr>
      </w:pPr>
      <w:r>
        <w:rPr>
          <w:rFonts w:ascii="Calibri" w:cs="Calibri" w:eastAsia="Calibri" w:hAnsi="Calibri"/>
          <w:sz w:val="18"/>
          <w:szCs w:val="18"/>
          <w:color w:val="auto"/>
        </w:rPr>
        <w:t>185 37 Piraeus</w:t>
      </w:r>
    </w:p>
    <w:p>
      <w:pPr>
        <w:spacing w:after="0" w:line="219" w:lineRule="auto"/>
        <w:rPr>
          <w:sz w:val="20"/>
          <w:szCs w:val="20"/>
          <w:color w:val="auto"/>
        </w:rPr>
      </w:pPr>
      <w:r>
        <w:rPr>
          <w:rFonts w:ascii="Calibri" w:cs="Calibri" w:eastAsia="Calibri" w:hAnsi="Calibri"/>
          <w:sz w:val="18"/>
          <w:szCs w:val="18"/>
          <w:color w:val="auto"/>
        </w:rPr>
        <w:t>Greece</w:t>
      </w:r>
    </w:p>
    <w:p>
      <w:pPr>
        <w:spacing w:after="0" w:line="182" w:lineRule="exact"/>
        <w:rPr>
          <w:sz w:val="20"/>
          <w:szCs w:val="20"/>
          <w:color w:val="auto"/>
        </w:rPr>
      </w:pPr>
    </w:p>
    <w:p>
      <w:pPr>
        <w:sectPr>
          <w:pgSz w:w="11900" w:h="16838" w:orient="portrait"/>
          <w:cols w:equalWidth="0" w:num="2">
            <w:col w:w="2920" w:space="720"/>
            <w:col w:w="7600"/>
          </w:cols>
          <w:pgMar w:left="320" w:top="429" w:right="339" w:bottom="1440" w:gutter="0" w:footer="0" w:header="0"/>
          <w:type w:val="continuous"/>
        </w:sectPr>
      </w:pPr>
    </w:p>
    <w:p>
      <w:pPr>
        <w:jc w:val="center"/>
        <w:ind w:right="360"/>
        <w:spacing w:after="0"/>
        <w:rPr>
          <w:sz w:val="20"/>
          <w:szCs w:val="20"/>
          <w:color w:val="auto"/>
        </w:rPr>
      </w:pPr>
      <w:r>
        <w:rPr>
          <w:rFonts w:ascii="Calibri" w:cs="Calibri" w:eastAsia="Calibri" w:hAnsi="Calibri"/>
          <w:sz w:val="18"/>
          <w:szCs w:val="18"/>
          <w:color w:val="auto"/>
        </w:rPr>
        <w:t>E-mail: n.kalapotharakos@capitalmaritme.com</w:t>
      </w:r>
    </w:p>
    <w:p>
      <w:pPr>
        <w:sectPr>
          <w:pgSz w:w="11900" w:h="16838" w:orient="portrait"/>
          <w:cols w:equalWidth="0" w:num="1">
            <w:col w:w="11240"/>
          </w:cols>
          <w:pgMar w:left="320" w:top="429" w:right="339" w:bottom="1440" w:gutter="0" w:footer="0" w:header="0"/>
          <w:type w:val="continuous"/>
        </w:sectPr>
      </w:pPr>
    </w:p>
    <w:p>
      <w:pPr>
        <w:spacing w:after="0" w:line="381" w:lineRule="exact"/>
        <w:rPr>
          <w:sz w:val="20"/>
          <w:szCs w:val="20"/>
          <w:color w:val="auto"/>
        </w:rPr>
      </w:pPr>
    </w:p>
    <w:p>
      <w:pPr>
        <w:ind w:left="680"/>
        <w:spacing w:after="0"/>
        <w:rPr>
          <w:sz w:val="20"/>
          <w:szCs w:val="20"/>
          <w:color w:val="auto"/>
        </w:rPr>
      </w:pPr>
      <w:r>
        <w:rPr>
          <w:rFonts w:ascii="Calibri" w:cs="Calibri" w:eastAsia="Calibri" w:hAnsi="Calibri"/>
          <w:sz w:val="18"/>
          <w:szCs w:val="18"/>
          <w:color w:val="auto"/>
        </w:rPr>
        <w:t>for the atenton of:</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alibri" w:cs="Calibri" w:eastAsia="Calibri" w:hAnsi="Calibri"/>
          <w:sz w:val="18"/>
          <w:szCs w:val="18"/>
          <w:color w:val="auto"/>
        </w:rPr>
        <w:t>Capital Product Partners L.P./Chief Financial Ofcer</w:t>
      </w:r>
    </w:p>
    <w:p>
      <w:pPr>
        <w:spacing w:after="0" w:line="200" w:lineRule="exact"/>
        <w:rPr>
          <w:sz w:val="20"/>
          <w:szCs w:val="20"/>
          <w:color w:val="auto"/>
        </w:rPr>
      </w:pPr>
    </w:p>
    <w:p>
      <w:pPr>
        <w:sectPr>
          <w:pgSz w:w="11900" w:h="16838" w:orient="portrait"/>
          <w:cols w:equalWidth="0" w:num="2">
            <w:col w:w="2920" w:space="720"/>
            <w:col w:w="7600"/>
          </w:cols>
          <w:pgMar w:left="320" w:top="429" w:right="339" w:bottom="1440" w:gutter="0" w:footer="0" w:header="0"/>
          <w:type w:val="continuous"/>
        </w:sectPr>
      </w:pP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color w:val="auto"/>
        </w:rPr>
        <w:t>(b)</w:t>
      </w:r>
      <w:r>
        <w:rPr>
          <w:sz w:val="20"/>
          <w:szCs w:val="20"/>
          <w:color w:val="auto"/>
        </w:rPr>
        <w:tab/>
      </w:r>
      <w:r>
        <w:rPr>
          <w:rFonts w:ascii="Calibri" w:cs="Calibri" w:eastAsia="Calibri" w:hAnsi="Calibri"/>
          <w:sz w:val="18"/>
          <w:szCs w:val="18"/>
          <w:color w:val="auto"/>
        </w:rPr>
        <w:t>to a Lender: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auto"/>
        </w:rPr>
        <w:t>At the address next to its name in Part A of Schedule 1</w:t>
      </w:r>
    </w:p>
    <w:p>
      <w:pPr>
        <w:spacing w:after="0" w:line="218" w:lineRule="auto"/>
        <w:rPr>
          <w:sz w:val="20"/>
          <w:szCs w:val="20"/>
          <w:color w:val="auto"/>
        </w:rPr>
      </w:pPr>
      <w:r>
        <w:rPr>
          <w:rFonts w:ascii="Calibri" w:cs="Calibri" w:eastAsia="Calibri" w:hAnsi="Calibri"/>
          <w:sz w:val="18"/>
          <w:szCs w:val="18"/>
          <w:color w:val="auto"/>
        </w:rPr>
        <w:t>or (as the case may require) in the relevant Transfer</w:t>
      </w:r>
    </w:p>
    <w:p>
      <w:pPr>
        <w:spacing w:after="0" w:line="219" w:lineRule="auto"/>
        <w:rPr>
          <w:sz w:val="20"/>
          <w:szCs w:val="20"/>
          <w:color w:val="auto"/>
        </w:rPr>
      </w:pPr>
      <w:r>
        <w:rPr>
          <w:rFonts w:ascii="Calibri" w:cs="Calibri" w:eastAsia="Calibri" w:hAnsi="Calibri"/>
          <w:sz w:val="18"/>
          <w:szCs w:val="18"/>
          <w:color w:val="auto"/>
        </w:rPr>
        <w:t>Certfcate.</w:t>
      </w:r>
    </w:p>
    <w:p>
      <w:pPr>
        <w:spacing w:after="0" w:line="182" w:lineRule="exact"/>
        <w:rPr>
          <w:sz w:val="20"/>
          <w:szCs w:val="20"/>
          <w:color w:val="auto"/>
        </w:rPr>
      </w:pPr>
    </w:p>
    <w:p>
      <w:pPr>
        <w:sectPr>
          <w:pgSz w:w="11900" w:h="16838" w:orient="portrait"/>
          <w:cols w:equalWidth="0" w:num="2">
            <w:col w:w="1780" w:space="720"/>
            <w:col w:w="8740"/>
          </w:cols>
          <w:pgMar w:left="320" w:top="429" w:right="339" w:bottom="1440" w:gutter="0" w:footer="0" w:header="0"/>
          <w:type w:val="continuous"/>
        </w:sectPr>
      </w:pPr>
    </w:p>
    <w:p>
      <w:pPr>
        <w:ind w:left="780"/>
        <w:spacing w:after="0"/>
        <w:rPr>
          <w:sz w:val="20"/>
          <w:szCs w:val="20"/>
          <w:color w:val="auto"/>
        </w:rPr>
      </w:pPr>
      <w:r>
        <w:rPr>
          <w:rFonts w:ascii="Calibri" w:cs="Calibri" w:eastAsia="Calibri" w:hAnsi="Calibri"/>
          <w:sz w:val="18"/>
          <w:szCs w:val="18"/>
          <w:color w:val="auto"/>
        </w:rPr>
        <w:t>for the atenton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the Manager</w:t>
      </w:r>
    </w:p>
    <w:p>
      <w:pPr>
        <w:spacing w:after="0" w:line="200" w:lineRule="exact"/>
        <w:rPr>
          <w:sz w:val="20"/>
          <w:szCs w:val="20"/>
          <w:color w:val="auto"/>
        </w:rPr>
      </w:pPr>
    </w:p>
    <w:p>
      <w:pPr>
        <w:sectPr>
          <w:pgSz w:w="11900" w:h="16838" w:orient="portrait"/>
          <w:cols w:equalWidth="0" w:num="2">
            <w:col w:w="6400" w:space="720"/>
            <w:col w:w="4120"/>
          </w:cols>
          <w:pgMar w:left="320" w:top="429"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660" w:hanging="597"/>
        <w:spacing w:after="0"/>
        <w:tabs>
          <w:tab w:leader="none" w:pos="660" w:val="left"/>
        </w:tabs>
        <w:numPr>
          <w:ilvl w:val="0"/>
          <w:numId w:val="418"/>
        </w:numPr>
        <w:rPr>
          <w:rFonts w:ascii="Calibri" w:cs="Calibri" w:eastAsia="Calibri" w:hAnsi="Calibri"/>
          <w:sz w:val="18"/>
          <w:szCs w:val="18"/>
          <w:color w:val="auto"/>
        </w:rPr>
      </w:pPr>
      <w:r>
        <w:rPr>
          <w:rFonts w:ascii="Calibri" w:cs="Calibri" w:eastAsia="Calibri" w:hAnsi="Calibri"/>
          <w:sz w:val="18"/>
          <w:szCs w:val="18"/>
          <w:color w:val="auto"/>
        </w:rPr>
        <w:t>to the Agent and Security Trustee:</w:t>
      </w:r>
    </w:p>
    <w:p>
      <w:pPr>
        <w:sectPr>
          <w:pgSz w:w="11900" w:h="16838" w:orient="portrait"/>
          <w:cols w:equalWidth="0" w:num="1">
            <w:col w:w="11240"/>
          </w:cols>
          <w:pgMar w:left="320" w:top="429" w:right="339" w:bottom="1440" w:gutter="0" w:footer="0" w:header="0"/>
          <w:type w:val="continuous"/>
        </w:sectPr>
      </w:pPr>
    </w:p>
    <w:p>
      <w:pPr>
        <w:ind w:left="660"/>
        <w:spacing w:after="0" w:line="218" w:lineRule="auto"/>
        <w:rPr>
          <w:sz w:val="20"/>
          <w:szCs w:val="20"/>
          <w:color w:val="auto"/>
        </w:rPr>
      </w:pPr>
      <w:r>
        <w:rPr>
          <w:rFonts w:ascii="Calibri" w:cs="Calibri" w:eastAsia="Calibri" w:hAnsi="Calibri"/>
          <w:sz w:val="18"/>
          <w:szCs w:val="18"/>
          <w:color w:val="auto"/>
        </w:rPr>
        <w:t>for general maters:</w:t>
      </w:r>
    </w:p>
    <w:p>
      <w:pPr>
        <w:spacing w:after="0" w:line="20" w:lineRule="exact"/>
        <w:rPr>
          <w:sz w:val="20"/>
          <w:szCs w:val="20"/>
          <w:color w:val="auto"/>
        </w:rPr>
      </w:pPr>
      <w:r>
        <w:rPr>
          <w:sz w:val="20"/>
          <w:szCs w:val="20"/>
          <w:color w:val="auto"/>
        </w:rPr>
        <w:br w:type="column"/>
      </w:r>
    </w:p>
    <w:p>
      <w:pPr>
        <w:spacing w:after="0" w:line="218" w:lineRule="auto"/>
        <w:rPr>
          <w:sz w:val="20"/>
          <w:szCs w:val="20"/>
          <w:color w:val="auto"/>
        </w:rPr>
      </w:pPr>
      <w:r>
        <w:rPr>
          <w:rFonts w:ascii="Calibri" w:cs="Calibri" w:eastAsia="Calibri" w:hAnsi="Calibri"/>
          <w:sz w:val="18"/>
          <w:szCs w:val="18"/>
          <w:color w:val="auto"/>
        </w:rPr>
        <w:t>Hamburg Commercial Bank AG</w:t>
      </w:r>
    </w:p>
    <w:p>
      <w:pPr>
        <w:spacing w:after="0" w:line="219" w:lineRule="auto"/>
        <w:rPr>
          <w:sz w:val="20"/>
          <w:szCs w:val="20"/>
          <w:color w:val="auto"/>
        </w:rPr>
      </w:pPr>
      <w:r>
        <w:rPr>
          <w:rFonts w:ascii="Calibri" w:cs="Calibri" w:eastAsia="Calibri" w:hAnsi="Calibri"/>
          <w:sz w:val="18"/>
          <w:szCs w:val="18"/>
          <w:color w:val="auto"/>
        </w:rPr>
        <w:t>UB 25 Shipping</w:t>
      </w:r>
    </w:p>
    <w:p>
      <w:pPr>
        <w:spacing w:after="0" w:line="219" w:lineRule="auto"/>
        <w:rPr>
          <w:sz w:val="20"/>
          <w:szCs w:val="20"/>
          <w:color w:val="auto"/>
        </w:rPr>
      </w:pPr>
      <w:r>
        <w:rPr>
          <w:rFonts w:ascii="Calibri" w:cs="Calibri" w:eastAsia="Calibri" w:hAnsi="Calibri"/>
          <w:sz w:val="18"/>
          <w:szCs w:val="18"/>
          <w:color w:val="auto"/>
        </w:rPr>
        <w:t>Shipping Clients Internatonal</w:t>
      </w:r>
    </w:p>
    <w:p>
      <w:pPr>
        <w:spacing w:after="0" w:line="219" w:lineRule="auto"/>
        <w:rPr>
          <w:sz w:val="20"/>
          <w:szCs w:val="20"/>
          <w:color w:val="auto"/>
        </w:rPr>
      </w:pPr>
      <w:r>
        <w:rPr>
          <w:rFonts w:ascii="Calibri" w:cs="Calibri" w:eastAsia="Calibri" w:hAnsi="Calibri"/>
          <w:sz w:val="18"/>
          <w:szCs w:val="18"/>
          <w:color w:val="auto"/>
        </w:rPr>
        <w:t>Gerhart-Hauptmann-Platz 50</w:t>
      </w:r>
    </w:p>
    <w:p>
      <w:pPr>
        <w:spacing w:after="0" w:line="219" w:lineRule="auto"/>
        <w:rPr>
          <w:sz w:val="20"/>
          <w:szCs w:val="20"/>
          <w:color w:val="auto"/>
        </w:rPr>
      </w:pPr>
      <w:r>
        <w:rPr>
          <w:rFonts w:ascii="Calibri" w:cs="Calibri" w:eastAsia="Calibri" w:hAnsi="Calibri"/>
          <w:sz w:val="18"/>
          <w:szCs w:val="18"/>
          <w:color w:val="auto"/>
        </w:rPr>
        <w:t>20095 Hamburg</w:t>
      </w:r>
    </w:p>
    <w:p>
      <w:pPr>
        <w:spacing w:after="0" w:line="219" w:lineRule="auto"/>
        <w:rPr>
          <w:sz w:val="20"/>
          <w:szCs w:val="20"/>
          <w:color w:val="auto"/>
        </w:rPr>
      </w:pPr>
      <w:r>
        <w:rPr>
          <w:rFonts w:ascii="Calibri" w:cs="Calibri" w:eastAsia="Calibri" w:hAnsi="Calibri"/>
          <w:sz w:val="18"/>
          <w:szCs w:val="18"/>
          <w:color w:val="auto"/>
        </w:rPr>
        <w:t>Germany</w:t>
      </w:r>
    </w:p>
    <w:p>
      <w:pPr>
        <w:spacing w:after="0" w:line="181" w:lineRule="exact"/>
        <w:rPr>
          <w:sz w:val="20"/>
          <w:szCs w:val="20"/>
          <w:color w:val="auto"/>
        </w:rPr>
      </w:pPr>
    </w:p>
    <w:p>
      <w:pPr>
        <w:sectPr>
          <w:pgSz w:w="11900" w:h="16838" w:orient="portrait"/>
          <w:cols w:equalWidth="0" w:num="2">
            <w:col w:w="3500" w:space="720"/>
            <w:col w:w="7020"/>
          </w:cols>
          <w:pgMar w:left="320" w:top="429" w:right="339" w:bottom="1440" w:gutter="0" w:footer="0" w:header="0"/>
          <w:type w:val="continuous"/>
        </w:sectPr>
      </w:pPr>
    </w:p>
    <w:p>
      <w:pPr>
        <w:ind w:left="4220"/>
        <w:spacing w:after="0"/>
        <w:rPr>
          <w:sz w:val="20"/>
          <w:szCs w:val="20"/>
          <w:color w:val="auto"/>
        </w:rPr>
      </w:pPr>
      <w:r>
        <w:rPr>
          <w:rFonts w:ascii="Calibri" w:cs="Calibri" w:eastAsia="Calibri" w:hAnsi="Calibri"/>
          <w:sz w:val="18"/>
          <w:szCs w:val="18"/>
          <w:color w:val="auto"/>
        </w:rPr>
        <w:t>Fax No: +30 210 429 5323/Email: Mathias.evers@hcom-bank.com</w:t>
      </w:r>
    </w:p>
    <w:p>
      <w:pPr>
        <w:ind w:left="4220"/>
        <w:spacing w:after="0" w:line="218" w:lineRule="auto"/>
        <w:rPr>
          <w:sz w:val="20"/>
          <w:szCs w:val="20"/>
          <w:color w:val="auto"/>
        </w:rPr>
      </w:pPr>
      <w:r>
        <w:rPr>
          <w:rFonts w:ascii="Calibri" w:cs="Calibri" w:eastAsia="Calibri" w:hAnsi="Calibri"/>
          <w:sz w:val="18"/>
          <w:szCs w:val="18"/>
          <w:color w:val="auto"/>
        </w:rPr>
        <w:t>Atn: Mr Loukas Lagaras/Mr Mathias Evers</w:t>
      </w:r>
    </w:p>
    <w:p>
      <w:pPr>
        <w:sectPr>
          <w:pgSz w:w="11900" w:h="16838" w:orient="portrait"/>
          <w:cols w:equalWidth="0" w:num="1">
            <w:col w:w="11240"/>
          </w:cols>
          <w:pgMar w:left="320" w:top="429" w:right="3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Calibri" w:cs="Calibri" w:eastAsia="Calibri" w:hAnsi="Calibri"/>
          <w:sz w:val="14"/>
          <w:szCs w:val="14"/>
          <w:color w:val="auto"/>
        </w:rPr>
        <w:t>EUROPE/71630549v6</w:t>
      </w:r>
    </w:p>
    <w:p>
      <w:pPr>
        <w:sectPr>
          <w:pgSz w:w="11900" w:h="16838" w:orient="portrait"/>
          <w:cols w:equalWidth="0" w:num="2">
            <w:col w:w="9220" w:space="720"/>
            <w:col w:w="1300"/>
          </w:cols>
          <w:pgMar w:left="320" w:top="429" w:right="339"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8"/>
          <w:szCs w:val="18"/>
          <w:color w:val="auto"/>
        </w:rPr>
        <w:t>for credit administratve maters: Hamburg Commercial Bank AG</w:t>
      </w:r>
    </w:p>
    <w:p>
      <w:pPr>
        <w:ind w:left="2960"/>
        <w:spacing w:after="0" w:line="218" w:lineRule="auto"/>
        <w:rPr>
          <w:sz w:val="20"/>
          <w:szCs w:val="20"/>
          <w:color w:val="auto"/>
        </w:rPr>
      </w:pPr>
      <w:r>
        <w:rPr>
          <w:rFonts w:ascii="Calibri" w:cs="Calibri" w:eastAsia="Calibri" w:hAnsi="Calibri"/>
          <w:sz w:val="18"/>
          <w:szCs w:val="18"/>
          <w:color w:val="auto"/>
        </w:rPr>
        <w:t>Loan and Collateral Management</w:t>
      </w:r>
    </w:p>
    <w:p>
      <w:pPr>
        <w:ind w:left="2960"/>
        <w:spacing w:after="0" w:line="219" w:lineRule="auto"/>
        <w:rPr>
          <w:sz w:val="20"/>
          <w:szCs w:val="20"/>
          <w:color w:val="auto"/>
        </w:rPr>
      </w:pPr>
      <w:r>
        <w:rPr>
          <w:rFonts w:ascii="Calibri" w:cs="Calibri" w:eastAsia="Calibri" w:hAnsi="Calibri"/>
          <w:sz w:val="18"/>
          <w:szCs w:val="18"/>
          <w:color w:val="auto"/>
        </w:rPr>
        <w:t>Shipping Internatonal</w:t>
      </w:r>
    </w:p>
    <w:p>
      <w:pPr>
        <w:ind w:left="2960"/>
        <w:spacing w:after="0" w:line="219" w:lineRule="auto"/>
        <w:rPr>
          <w:sz w:val="20"/>
          <w:szCs w:val="20"/>
          <w:color w:val="auto"/>
        </w:rPr>
      </w:pPr>
      <w:r>
        <w:rPr>
          <w:rFonts w:ascii="Calibri" w:cs="Calibri" w:eastAsia="Calibri" w:hAnsi="Calibri"/>
          <w:sz w:val="18"/>
          <w:szCs w:val="18"/>
          <w:color w:val="auto"/>
        </w:rPr>
        <w:t>Gerhart-Hauptmann-Platz 50</w:t>
      </w:r>
    </w:p>
    <w:p>
      <w:pPr>
        <w:ind w:left="2960"/>
        <w:spacing w:after="0" w:line="219" w:lineRule="auto"/>
        <w:rPr>
          <w:sz w:val="20"/>
          <w:szCs w:val="20"/>
          <w:color w:val="auto"/>
        </w:rPr>
      </w:pPr>
      <w:r>
        <w:rPr>
          <w:rFonts w:ascii="Calibri" w:cs="Calibri" w:eastAsia="Calibri" w:hAnsi="Calibri"/>
          <w:sz w:val="18"/>
          <w:szCs w:val="18"/>
          <w:color w:val="auto"/>
        </w:rPr>
        <w:t>20095 Hamburg</w:t>
      </w:r>
    </w:p>
    <w:p>
      <w:pPr>
        <w:ind w:left="2960"/>
        <w:spacing w:after="0" w:line="219" w:lineRule="auto"/>
        <w:rPr>
          <w:sz w:val="20"/>
          <w:szCs w:val="20"/>
          <w:color w:val="auto"/>
        </w:rPr>
      </w:pPr>
      <w:r>
        <w:rPr>
          <w:rFonts w:ascii="Calibri" w:cs="Calibri" w:eastAsia="Calibri" w:hAnsi="Calibri"/>
          <w:sz w:val="18"/>
          <w:szCs w:val="18"/>
          <w:color w:val="auto"/>
        </w:rPr>
        <w:t>Germany</w:t>
      </w:r>
    </w:p>
    <w:p>
      <w:pPr>
        <w:spacing w:after="0" w:line="181" w:lineRule="exact"/>
        <w:rPr>
          <w:sz w:val="20"/>
          <w:szCs w:val="20"/>
          <w:color w:val="auto"/>
        </w:rPr>
      </w:pPr>
    </w:p>
    <w:p>
      <w:pPr>
        <w:ind w:left="2960"/>
        <w:spacing w:after="0"/>
        <w:rPr>
          <w:sz w:val="20"/>
          <w:szCs w:val="20"/>
          <w:color w:val="auto"/>
        </w:rPr>
      </w:pPr>
      <w:r>
        <w:rPr>
          <w:rFonts w:ascii="Calibri" w:cs="Calibri" w:eastAsia="Calibri" w:hAnsi="Calibri"/>
          <w:sz w:val="18"/>
          <w:szCs w:val="18"/>
          <w:color w:val="auto"/>
        </w:rPr>
        <w:t>Fax No: +49 40 3333 34118</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or to such other address as the relevant Party may notfy the Agent or, if the relevant Party is the Agent or the Security Trustee, the Borrower, the Lenders and the Security Partes.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28.3</w:t>
        <w:tab/>
        <w:t>Efectve date of notces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Clauses 28.4 and 28.5:</w:t>
      </w:r>
    </w:p>
    <w:p>
      <w:pPr>
        <w:spacing w:after="0" w:line="181" w:lineRule="exact"/>
        <w:rPr>
          <w:sz w:val="20"/>
          <w:szCs w:val="20"/>
          <w:color w:val="auto"/>
        </w:rPr>
      </w:pPr>
    </w:p>
    <w:p>
      <w:pPr>
        <w:ind w:left="580" w:hanging="580"/>
        <w:spacing w:after="0"/>
        <w:tabs>
          <w:tab w:leader="none" w:pos="580" w:val="left"/>
        </w:tabs>
        <w:numPr>
          <w:ilvl w:val="0"/>
          <w:numId w:val="419"/>
        </w:numPr>
        <w:rPr>
          <w:rFonts w:ascii="Calibri" w:cs="Calibri" w:eastAsia="Calibri" w:hAnsi="Calibri"/>
          <w:sz w:val="18"/>
          <w:szCs w:val="18"/>
          <w:color w:val="auto"/>
        </w:rPr>
      </w:pPr>
      <w:r>
        <w:rPr>
          <w:rFonts w:ascii="Calibri" w:cs="Calibri" w:eastAsia="Calibri" w:hAnsi="Calibri"/>
          <w:sz w:val="18"/>
          <w:szCs w:val="18"/>
          <w:color w:val="auto"/>
        </w:rPr>
        <w:t>a notce which is delivered personally or posted shall be deemed to be served, and shall take efect, at the tme when it is delivered;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19"/>
        </w:numPr>
        <w:rPr>
          <w:rFonts w:ascii="Calibri" w:cs="Calibri" w:eastAsia="Calibri" w:hAnsi="Calibri"/>
          <w:sz w:val="18"/>
          <w:szCs w:val="18"/>
          <w:color w:val="auto"/>
        </w:rPr>
      </w:pPr>
      <w:r>
        <w:rPr>
          <w:rFonts w:ascii="Calibri" w:cs="Calibri" w:eastAsia="Calibri" w:hAnsi="Calibri"/>
          <w:sz w:val="18"/>
          <w:szCs w:val="18"/>
          <w:color w:val="auto"/>
        </w:rPr>
        <w:t>a notce which is sent by fax shall be deemed to be served, and shall take efect, 2 hours afer its transmission is completed.</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28.4</w:t>
        <w:tab/>
        <w:t>Service outside business hours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However, if under Clause 28.3 a notce would be deemed to be served:</w:t>
      </w:r>
    </w:p>
    <w:p>
      <w:pPr>
        <w:spacing w:after="0" w:line="181" w:lineRule="exact"/>
        <w:rPr>
          <w:sz w:val="20"/>
          <w:szCs w:val="20"/>
          <w:color w:val="auto"/>
        </w:rPr>
      </w:pPr>
    </w:p>
    <w:p>
      <w:pPr>
        <w:ind w:left="580" w:hanging="580"/>
        <w:spacing w:after="0"/>
        <w:tabs>
          <w:tab w:leader="none" w:pos="580" w:val="left"/>
        </w:tabs>
        <w:numPr>
          <w:ilvl w:val="0"/>
          <w:numId w:val="420"/>
        </w:numPr>
        <w:rPr>
          <w:rFonts w:ascii="Calibri" w:cs="Calibri" w:eastAsia="Calibri" w:hAnsi="Calibri"/>
          <w:sz w:val="18"/>
          <w:szCs w:val="18"/>
          <w:color w:val="auto"/>
        </w:rPr>
      </w:pPr>
      <w:r>
        <w:rPr>
          <w:rFonts w:ascii="Calibri" w:cs="Calibri" w:eastAsia="Calibri" w:hAnsi="Calibri"/>
          <w:sz w:val="18"/>
          <w:szCs w:val="18"/>
          <w:color w:val="auto"/>
        </w:rPr>
        <w:t>on a day which is not a business day in the place of receipt; or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20"/>
        </w:numPr>
        <w:rPr>
          <w:rFonts w:ascii="Calibri" w:cs="Calibri" w:eastAsia="Calibri" w:hAnsi="Calibri"/>
          <w:sz w:val="18"/>
          <w:szCs w:val="18"/>
          <w:color w:val="auto"/>
        </w:rPr>
      </w:pPr>
      <w:r>
        <w:rPr>
          <w:rFonts w:ascii="Calibri" w:cs="Calibri" w:eastAsia="Calibri" w:hAnsi="Calibri"/>
          <w:sz w:val="18"/>
          <w:szCs w:val="18"/>
          <w:color w:val="auto"/>
        </w:rPr>
        <w:t>on such a business day, but afer 5 p.m. local tme,</w:t>
      </w:r>
    </w:p>
    <w:p>
      <w:pPr>
        <w:spacing w:after="0" w:line="18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notce shall (subject to Clause 28.5) be deemed to be served, and shall take efect, at 9 a.m. on the next day which is such a business day.</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28.5</w:t>
        <w:tab/>
        <w:t>Illegible notces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Clauses 28.3 and 28.4 do not apply if the recipient of a notce notfes the sender within 1 hour afer the tme at which the notce would otherwise be deemed to be served that the notce has been received in a form which is illegible in a material respect.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28.6</w:t>
        <w:tab/>
        <w:t>Valid notces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 notce under or in connecton with a Finance Document shall not be invalid by reason that its contents or the manner of serving it do not comply with the requirements of this Agreement or, where appropriate, any other Finance Document under which it is served if:</w:t>
      </w:r>
    </w:p>
    <w:p>
      <w:pPr>
        <w:spacing w:after="0" w:line="184" w:lineRule="exact"/>
        <w:rPr>
          <w:sz w:val="20"/>
          <w:szCs w:val="20"/>
          <w:color w:val="auto"/>
        </w:rPr>
      </w:pPr>
    </w:p>
    <w:p>
      <w:pPr>
        <w:ind w:left="580" w:hanging="580"/>
        <w:spacing w:after="0" w:line="228" w:lineRule="auto"/>
        <w:tabs>
          <w:tab w:leader="none" w:pos="580" w:val="left"/>
        </w:tabs>
        <w:numPr>
          <w:ilvl w:val="0"/>
          <w:numId w:val="421"/>
        </w:numPr>
        <w:rPr>
          <w:rFonts w:ascii="Calibri" w:cs="Calibri" w:eastAsia="Calibri" w:hAnsi="Calibri"/>
          <w:sz w:val="18"/>
          <w:szCs w:val="18"/>
          <w:color w:val="auto"/>
        </w:rPr>
      </w:pPr>
      <w:r>
        <w:rPr>
          <w:rFonts w:ascii="Calibri" w:cs="Calibri" w:eastAsia="Calibri" w:hAnsi="Calibri"/>
          <w:sz w:val="18"/>
          <w:szCs w:val="18"/>
          <w:color w:val="auto"/>
        </w:rPr>
        <w:t>the failure to serve it in accordance with the requirements of this Agreement or other Finance Document, as the case may be, has not caused any party to sufer any signifcant loss or prejudice; 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21"/>
        </w:numPr>
        <w:rPr>
          <w:rFonts w:ascii="Calibri" w:cs="Calibri" w:eastAsia="Calibri" w:hAnsi="Calibri"/>
          <w:sz w:val="18"/>
          <w:szCs w:val="18"/>
          <w:color w:val="auto"/>
        </w:rPr>
      </w:pPr>
      <w:r>
        <w:rPr>
          <w:rFonts w:ascii="Calibri" w:cs="Calibri" w:eastAsia="Calibri" w:hAnsi="Calibri"/>
          <w:sz w:val="18"/>
          <w:szCs w:val="18"/>
          <w:color w:val="auto"/>
        </w:rPr>
        <w:t>in the case of incorrect and/or incomplete contents, it should have been reasonably clear to the party on which the notce was served what the correct or missing partculars should have been.</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41" w:name="page242"/>
    <w:bookmarkEnd w:id="241"/>
    <w:p>
      <w:pPr>
        <w:spacing w:after="0"/>
        <w:tabs>
          <w:tab w:leader="none" w:pos="560" w:val="left"/>
        </w:tabs>
        <w:rPr>
          <w:sz w:val="20"/>
          <w:szCs w:val="20"/>
          <w:color w:val="auto"/>
        </w:rPr>
      </w:pPr>
      <w:r>
        <w:rPr>
          <w:rFonts w:ascii="Calibri" w:cs="Calibri" w:eastAsia="Calibri" w:hAnsi="Calibri"/>
          <w:sz w:val="18"/>
          <w:szCs w:val="18"/>
          <w:b w:val="1"/>
          <w:bCs w:val="1"/>
          <w:color w:val="auto"/>
        </w:rPr>
        <w:t>28.7</w:t>
        <w:tab/>
        <w:t>Electronic communicaton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Any communicaton from the Agent or the other Creditor Partes made by electronic means will be sent unsecured and without electronic signature, however, the Borrower may request the Agent and the other Creditor Partes at any tme in writng to change the method of electronic communicaton from unsecured to secured electronic mail communicaton.</w:t>
      </w:r>
    </w:p>
    <w:p>
      <w:pPr>
        <w:spacing w:after="0" w:line="184"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The Borrower hereby acknowledges and accepts the risks associated with the use of unsecured electronic mail communicaton including, without limitaton, risk of delay, loss of data, confdentality breach, forgery, falsifcaton and malicious sofware. The Agent and the other Creditor Partes shall not be liable in any way for any loss or damage or any other disadvantage sufered by the Borrower resultng from such unsecured electronic mail communicaton.</w:t>
      </w:r>
    </w:p>
    <w:p>
      <w:pPr>
        <w:spacing w:after="0" w:line="185"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If the Borrower or any Security Party wish to cease all electronic communicaton, they shall give writen notce to the Agent and the other Creditor Partes accordingly afer receipt of which notce the Partes shall cease all electronic communicaton.</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For as long as electronic communicaton is an accepted form of communicaton, the Partes shall:</w:t>
      </w:r>
    </w:p>
    <w:p>
      <w:pPr>
        <w:spacing w:after="0" w:line="183" w:lineRule="exact"/>
        <w:rPr>
          <w:sz w:val="20"/>
          <w:szCs w:val="20"/>
          <w:color w:val="auto"/>
        </w:rPr>
      </w:pPr>
    </w:p>
    <w:p>
      <w:pPr>
        <w:ind w:left="580" w:hanging="580"/>
        <w:spacing w:after="0" w:line="228" w:lineRule="auto"/>
        <w:tabs>
          <w:tab w:leader="none" w:pos="580" w:val="left"/>
        </w:tabs>
        <w:numPr>
          <w:ilvl w:val="0"/>
          <w:numId w:val="422"/>
        </w:numPr>
        <w:rPr>
          <w:rFonts w:ascii="Calibri" w:cs="Calibri" w:eastAsia="Calibri" w:hAnsi="Calibri"/>
          <w:sz w:val="18"/>
          <w:szCs w:val="18"/>
          <w:color w:val="auto"/>
        </w:rPr>
      </w:pPr>
      <w:r>
        <w:rPr>
          <w:rFonts w:ascii="Calibri" w:cs="Calibri" w:eastAsia="Calibri" w:hAnsi="Calibri"/>
          <w:sz w:val="18"/>
          <w:szCs w:val="18"/>
          <w:color w:val="auto"/>
        </w:rPr>
        <w:t>notfy each other in writng of their electronic mail address and/or any other informaton required to enable the sending and receipt of informaton by that means;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22"/>
        </w:numPr>
        <w:rPr>
          <w:rFonts w:ascii="Calibri" w:cs="Calibri" w:eastAsia="Calibri" w:hAnsi="Calibri"/>
          <w:sz w:val="18"/>
          <w:szCs w:val="18"/>
          <w:color w:val="auto"/>
        </w:rPr>
      </w:pPr>
      <w:r>
        <w:rPr>
          <w:rFonts w:ascii="Calibri" w:cs="Calibri" w:eastAsia="Calibri" w:hAnsi="Calibri"/>
          <w:sz w:val="18"/>
          <w:szCs w:val="18"/>
          <w:color w:val="auto"/>
        </w:rPr>
        <w:t>notfy each other of any change to their respectve addresses or any other such informaton supplied to them.</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28.8</w:t>
        <w:tab/>
        <w:t>English language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Any notce under or in connecton with a Finance Document shall be in English.</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28.9</w:t>
        <w:tab/>
        <w:t>Meaning of "notce"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this Clause 0, "</w:t>
      </w:r>
      <w:r>
        <w:rPr>
          <w:rFonts w:ascii="Calibri" w:cs="Calibri" w:eastAsia="Calibri" w:hAnsi="Calibri"/>
          <w:sz w:val="18"/>
          <w:szCs w:val="18"/>
          <w:b w:val="1"/>
          <w:bCs w:val="1"/>
          <w:color w:val="auto"/>
        </w:rPr>
        <w:t>notce</w:t>
      </w:r>
      <w:r>
        <w:rPr>
          <w:rFonts w:ascii="Calibri" w:cs="Calibri" w:eastAsia="Calibri" w:hAnsi="Calibri"/>
          <w:sz w:val="18"/>
          <w:szCs w:val="18"/>
          <w:color w:val="auto"/>
        </w:rPr>
        <w:t>" includes any demand, consent, authorisaton, approval, instructon, waiver or other communicaton.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29</w:t>
      </w:r>
      <w:r>
        <w:rPr>
          <w:sz w:val="20"/>
          <w:szCs w:val="20"/>
          <w:color w:val="auto"/>
        </w:rPr>
        <w:tab/>
      </w:r>
      <w:r>
        <w:rPr>
          <w:rFonts w:ascii="Calibri" w:cs="Calibri" w:eastAsia="Calibri" w:hAnsi="Calibri"/>
          <w:sz w:val="18"/>
          <w:szCs w:val="18"/>
          <w:b w:val="1"/>
          <w:bCs w:val="1"/>
          <w:color w:val="auto"/>
        </w:rPr>
        <w:t>BAIL-IN</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29.1</w:t>
        <w:tab/>
        <w:t>Contractual recogniton of bail-in</w:t>
      </w:r>
    </w:p>
    <w:p>
      <w:pPr>
        <w:spacing w:after="0" w:line="183" w:lineRule="exact"/>
        <w:rPr>
          <w:sz w:val="20"/>
          <w:szCs w:val="20"/>
          <w:color w:val="auto"/>
        </w:rPr>
      </w:pPr>
    </w:p>
    <w:p>
      <w:pPr>
        <w:jc w:val="both"/>
        <w:ind w:left="600"/>
        <w:spacing w:after="0" w:line="223" w:lineRule="auto"/>
        <w:rPr>
          <w:sz w:val="20"/>
          <w:szCs w:val="20"/>
          <w:color w:val="auto"/>
        </w:rPr>
      </w:pPr>
      <w:r>
        <w:rPr>
          <w:rFonts w:ascii="Calibri" w:cs="Calibri" w:eastAsia="Calibri" w:hAnsi="Calibri"/>
          <w:sz w:val="18"/>
          <w:szCs w:val="18"/>
          <w:color w:val="auto"/>
        </w:rPr>
        <w:t>Notwithstanding any other term of any Finance Document or any other agreement, arrangement or understanding between the partes to a Finance Document, each Party acknowledges and accepts that any liability of any party to a Finance Document under or in connecton with the Finance Documents may be subject to Bail-In Acton by the relevant Resoluton Authority and acknowledges and accepts to be bound by the efect of:</w:t>
      </w:r>
    </w:p>
    <w:p>
      <w:pPr>
        <w:spacing w:after="0" w:line="183" w:lineRule="exact"/>
        <w:rPr>
          <w:sz w:val="20"/>
          <w:szCs w:val="20"/>
          <w:color w:val="auto"/>
        </w:rPr>
      </w:pPr>
    </w:p>
    <w:p>
      <w:pPr>
        <w:ind w:left="580" w:hanging="580"/>
        <w:spacing w:after="0"/>
        <w:tabs>
          <w:tab w:leader="none" w:pos="580" w:val="left"/>
        </w:tabs>
        <w:numPr>
          <w:ilvl w:val="0"/>
          <w:numId w:val="423"/>
        </w:numPr>
        <w:rPr>
          <w:rFonts w:ascii="Calibri" w:cs="Calibri" w:eastAsia="Calibri" w:hAnsi="Calibri"/>
          <w:sz w:val="18"/>
          <w:szCs w:val="18"/>
          <w:color w:val="auto"/>
        </w:rPr>
      </w:pPr>
      <w:r>
        <w:rPr>
          <w:rFonts w:ascii="Calibri" w:cs="Calibri" w:eastAsia="Calibri" w:hAnsi="Calibri"/>
          <w:sz w:val="18"/>
          <w:szCs w:val="18"/>
          <w:color w:val="auto"/>
        </w:rPr>
        <w:t>any Bail-In Acton in relaton to any such liability, including (without limitaton):</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23"/>
        </w:numPr>
        <w:rPr>
          <w:rFonts w:ascii="Calibri" w:cs="Calibri" w:eastAsia="Calibri" w:hAnsi="Calibri"/>
          <w:sz w:val="18"/>
          <w:szCs w:val="18"/>
          <w:color w:val="auto"/>
        </w:rPr>
      </w:pPr>
      <w:r>
        <w:rPr>
          <w:rFonts w:ascii="Calibri" w:cs="Calibri" w:eastAsia="Calibri" w:hAnsi="Calibri"/>
          <w:sz w:val="18"/>
          <w:szCs w:val="18"/>
          <w:color w:val="auto"/>
        </w:rPr>
        <w:t>a reducton, in full or in part, in the principal amount, or outstanding amount due (including any accrued but unpaid interest) in respect of any such liability;</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23"/>
        </w:numPr>
        <w:rPr>
          <w:rFonts w:ascii="Calibri" w:cs="Calibri" w:eastAsia="Calibri" w:hAnsi="Calibri"/>
          <w:sz w:val="18"/>
          <w:szCs w:val="18"/>
          <w:color w:val="auto"/>
        </w:rPr>
      </w:pPr>
      <w:r>
        <w:rPr>
          <w:rFonts w:ascii="Calibri" w:cs="Calibri" w:eastAsia="Calibri" w:hAnsi="Calibri"/>
          <w:sz w:val="18"/>
          <w:szCs w:val="18"/>
          <w:color w:val="auto"/>
        </w:rPr>
        <w:t>a conversion of all, or part of, any such liability into shares or other instruments of ownership that may be issued to, or conferred on, it; and</w:t>
      </w:r>
    </w:p>
    <w:p>
      <w:pPr>
        <w:spacing w:after="0" w:line="183" w:lineRule="exact"/>
        <w:rPr>
          <w:sz w:val="20"/>
          <w:szCs w:val="20"/>
          <w:color w:val="auto"/>
        </w:rPr>
      </w:pPr>
    </w:p>
    <w:p>
      <w:pPr>
        <w:jc w:val="both"/>
        <w:ind w:left="5540"/>
        <w:spacing w:after="0"/>
        <w:tabs>
          <w:tab w:leader="none" w:pos="9920" w:val="left"/>
        </w:tabs>
        <w:rPr>
          <w:sz w:val="20"/>
          <w:szCs w:val="20"/>
          <w:color w:val="auto"/>
        </w:rPr>
      </w:pPr>
      <w:r>
        <w:rPr>
          <w:rFonts w:ascii="Times New Roman" w:cs="Times New Roman" w:eastAsia="Times New Roman" w:hAnsi="Times New Roman"/>
          <w:sz w:val="17"/>
          <w:szCs w:val="17"/>
          <w:color w:val="auto"/>
        </w:rPr>
        <w:t>99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42" w:name="page243"/>
    <w:bookmarkEnd w:id="242"/>
    <w:p>
      <w:pPr>
        <w:ind w:left="1180" w:hanging="591"/>
        <w:spacing w:after="0"/>
        <w:tabs>
          <w:tab w:leader="none" w:pos="1180" w:val="left"/>
        </w:tabs>
        <w:numPr>
          <w:ilvl w:val="0"/>
          <w:numId w:val="424"/>
        </w:numPr>
        <w:rPr>
          <w:rFonts w:ascii="Calibri" w:cs="Calibri" w:eastAsia="Calibri" w:hAnsi="Calibri"/>
          <w:sz w:val="18"/>
          <w:szCs w:val="18"/>
          <w:color w:val="auto"/>
        </w:rPr>
      </w:pPr>
      <w:r>
        <w:rPr>
          <w:rFonts w:ascii="Calibri" w:cs="Calibri" w:eastAsia="Calibri" w:hAnsi="Calibri"/>
          <w:sz w:val="18"/>
          <w:szCs w:val="18"/>
          <w:color w:val="auto"/>
        </w:rPr>
        <w:t>a cancellaton of any such liability; and</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variaton of any term of any Finance Document to the extent necessary to give efect to any Bail-In Acton in relaton to any such liability.</w:t>
      </w:r>
    </w:p>
    <w:p>
      <w:pPr>
        <w:spacing w:after="0" w:line="181" w:lineRule="exact"/>
        <w:rPr>
          <w:sz w:val="20"/>
          <w:szCs w:val="20"/>
          <w:color w:val="auto"/>
        </w:rPr>
      </w:pPr>
    </w:p>
    <w:p>
      <w:pPr>
        <w:ind w:left="580" w:hanging="580"/>
        <w:spacing w:after="0"/>
        <w:tabs>
          <w:tab w:leader="none" w:pos="580" w:val="left"/>
        </w:tabs>
        <w:numPr>
          <w:ilvl w:val="0"/>
          <w:numId w:val="42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CONFIDENTIAL INFORMATION</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42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Confdentality</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Each Creditor Party agrees to keep all Confdental Informaton confdental and not to disclose it to anyone, save to the extent permited by Clause 30.2 or 30.3 and to ensure that all Confdental Informaton is protected with security measures and a degree of care that would apply to its own confdental informaton.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30.2</w:t>
        <w:tab/>
        <w:t>Disclosure of Confdental Informaton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Any Creditor Party may disclose:</w:t>
      </w:r>
    </w:p>
    <w:p>
      <w:pPr>
        <w:spacing w:after="0" w:line="183" w:lineRule="exact"/>
        <w:rPr>
          <w:sz w:val="20"/>
          <w:szCs w:val="20"/>
          <w:color w:val="auto"/>
        </w:rPr>
      </w:pPr>
    </w:p>
    <w:p>
      <w:pPr>
        <w:jc w:val="both"/>
        <w:ind w:left="580" w:hanging="580"/>
        <w:spacing w:after="0"/>
        <w:tabs>
          <w:tab w:leader="none" w:pos="580" w:val="left"/>
        </w:tabs>
        <w:numPr>
          <w:ilvl w:val="0"/>
          <w:numId w:val="427"/>
        </w:numPr>
        <w:rPr>
          <w:rFonts w:ascii="Calibri" w:cs="Calibri" w:eastAsia="Calibri" w:hAnsi="Calibri"/>
          <w:sz w:val="18"/>
          <w:szCs w:val="18"/>
          <w:color w:val="auto"/>
        </w:rPr>
      </w:pPr>
      <w:r>
        <w:rPr>
          <w:rFonts w:ascii="Calibri" w:cs="Calibri" w:eastAsia="Calibri" w:hAnsi="Calibri"/>
          <w:sz w:val="18"/>
          <w:szCs w:val="18"/>
          <w:color w:val="auto"/>
        </w:rPr>
        <w:t>to any of its afliates and Related Funds and any of its or their ofcers, directors, employees, professional advisers, auditors, partners and representatves such Confdental Informaton as that Creditor Party shall consider appropriate if any person to whom the Confdental Informaton is to be given pursuant to this paragraph (a) is informed in writng of its confdental nature and that some or all of such Confdental Informaton may be price-sensitve informaton except that there shall be no such requirement to so inform if the recipient is subject to professional obligatons to maintain the confdentality of the informaton or is otherwise bound by requirements of confdentality in relaton to the Confdental Informaton;</w:t>
      </w:r>
    </w:p>
    <w:p>
      <w:pPr>
        <w:spacing w:after="0" w:line="302" w:lineRule="exact"/>
        <w:rPr>
          <w:rFonts w:ascii="Calibri" w:cs="Calibri" w:eastAsia="Calibri" w:hAnsi="Calibri"/>
          <w:sz w:val="18"/>
          <w:szCs w:val="18"/>
          <w:color w:val="auto"/>
        </w:rPr>
      </w:pPr>
    </w:p>
    <w:p>
      <w:pPr>
        <w:ind w:left="580" w:hanging="580"/>
        <w:spacing w:after="0"/>
        <w:tabs>
          <w:tab w:leader="none" w:pos="580" w:val="left"/>
        </w:tabs>
        <w:numPr>
          <w:ilvl w:val="0"/>
          <w:numId w:val="427"/>
        </w:numPr>
        <w:rPr>
          <w:rFonts w:ascii="Calibri" w:cs="Calibri" w:eastAsia="Calibri" w:hAnsi="Calibri"/>
          <w:sz w:val="18"/>
          <w:szCs w:val="18"/>
          <w:color w:val="auto"/>
        </w:rPr>
      </w:pPr>
      <w:r>
        <w:rPr>
          <w:rFonts w:ascii="Calibri" w:cs="Calibri" w:eastAsia="Calibri" w:hAnsi="Calibri"/>
          <w:sz w:val="18"/>
          <w:szCs w:val="18"/>
          <w:color w:val="auto"/>
        </w:rPr>
        <w:t>to any person:</w:t>
      </w:r>
    </w:p>
    <w:p>
      <w:pPr>
        <w:spacing w:after="0" w:line="183" w:lineRule="exact"/>
        <w:rPr>
          <w:rFonts w:ascii="Calibri" w:cs="Calibri" w:eastAsia="Calibri" w:hAnsi="Calibri"/>
          <w:sz w:val="18"/>
          <w:szCs w:val="18"/>
          <w:color w:val="auto"/>
        </w:rPr>
      </w:pPr>
    </w:p>
    <w:p>
      <w:pPr>
        <w:jc w:val="both"/>
        <w:ind w:left="1180" w:hanging="591"/>
        <w:spacing w:after="0" w:line="225" w:lineRule="auto"/>
        <w:tabs>
          <w:tab w:leader="none" w:pos="1180" w:val="left"/>
        </w:tabs>
        <w:numPr>
          <w:ilvl w:val="1"/>
          <w:numId w:val="427"/>
        </w:numPr>
        <w:rPr>
          <w:rFonts w:ascii="Calibri" w:cs="Calibri" w:eastAsia="Calibri" w:hAnsi="Calibri"/>
          <w:sz w:val="18"/>
          <w:szCs w:val="18"/>
          <w:color w:val="auto"/>
        </w:rPr>
      </w:pPr>
      <w:r>
        <w:rPr>
          <w:rFonts w:ascii="Calibri" w:cs="Calibri" w:eastAsia="Calibri" w:hAnsi="Calibri"/>
          <w:sz w:val="18"/>
          <w:szCs w:val="18"/>
          <w:color w:val="auto"/>
        </w:rPr>
        <w:t>to (or through) whom it assigns or transfers (or may potentally assign or transfer) all or any of its rights and/or obligatons under one or more Finance Documents or which succeeds (or which may potentally succeed) it as Agent or Security Trustee and, in each case, to any of that person's afliates, Related Funds, representatves and professional advisers;</w:t>
      </w:r>
    </w:p>
    <w:p>
      <w:pPr>
        <w:spacing w:after="0" w:line="183" w:lineRule="exact"/>
        <w:rPr>
          <w:rFonts w:ascii="Calibri" w:cs="Calibri" w:eastAsia="Calibri" w:hAnsi="Calibri"/>
          <w:sz w:val="18"/>
          <w:szCs w:val="18"/>
          <w:color w:val="auto"/>
        </w:rPr>
      </w:pPr>
    </w:p>
    <w:p>
      <w:pPr>
        <w:jc w:val="both"/>
        <w:ind w:left="1180" w:hanging="591"/>
        <w:spacing w:after="0"/>
        <w:tabs>
          <w:tab w:leader="none" w:pos="1180" w:val="left"/>
        </w:tabs>
        <w:numPr>
          <w:ilvl w:val="1"/>
          <w:numId w:val="427"/>
        </w:numPr>
        <w:rPr>
          <w:rFonts w:ascii="Calibri" w:cs="Calibri" w:eastAsia="Calibri" w:hAnsi="Calibri"/>
          <w:sz w:val="18"/>
          <w:szCs w:val="18"/>
          <w:color w:val="auto"/>
        </w:rPr>
      </w:pPr>
      <w:r>
        <w:rPr>
          <w:rFonts w:ascii="Calibri" w:cs="Calibri" w:eastAsia="Calibri" w:hAnsi="Calibri"/>
          <w:sz w:val="18"/>
          <w:szCs w:val="18"/>
          <w:color w:val="auto"/>
        </w:rPr>
        <w:t>with (or through) whom it enters into (or may potentally enter into), whether directly or indirectly, any sub-partcipaton in relaton to, or any other transacton under which payments are to be made or may be made by reference to, one or more Finance Documents and/or the Borrower and/or any Security Party and to any of that person's afliates, Related Funds, representatves and professional advisers;</w:t>
      </w:r>
    </w:p>
    <w:p>
      <w:pPr>
        <w:spacing w:after="0" w:line="342"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27"/>
        </w:numPr>
        <w:rPr>
          <w:rFonts w:ascii="Calibri" w:cs="Calibri" w:eastAsia="Calibri" w:hAnsi="Calibri"/>
          <w:sz w:val="18"/>
          <w:szCs w:val="18"/>
          <w:color w:val="auto"/>
        </w:rPr>
      </w:pPr>
      <w:r>
        <w:rPr>
          <w:rFonts w:ascii="Calibri" w:cs="Calibri" w:eastAsia="Calibri" w:hAnsi="Calibri"/>
          <w:sz w:val="18"/>
          <w:szCs w:val="18"/>
          <w:color w:val="auto"/>
        </w:rPr>
        <w:t>appointed by any Creditor Party or by a person to whom sub-paragraph (i) or (ii) of paragraph (b) above applies to receive communicatons, notces, informaton or documents delivered pursuant to the Finance Documents on its behalf;</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27"/>
        </w:numPr>
        <w:rPr>
          <w:rFonts w:ascii="Calibri" w:cs="Calibri" w:eastAsia="Calibri" w:hAnsi="Calibri"/>
          <w:sz w:val="18"/>
          <w:szCs w:val="18"/>
          <w:color w:val="auto"/>
        </w:rPr>
      </w:pPr>
      <w:r>
        <w:rPr>
          <w:rFonts w:ascii="Calibri" w:cs="Calibri" w:eastAsia="Calibri" w:hAnsi="Calibri"/>
          <w:sz w:val="18"/>
          <w:szCs w:val="18"/>
          <w:color w:val="auto"/>
        </w:rPr>
        <w:t>who invests in or otherwise fnances (or may potentally invest in or otherwise fnance), directly or indirectly, any transacton referred to in sub-paragraph (i) or (ii) of paragraph (b) above;</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27"/>
        </w:numPr>
        <w:rPr>
          <w:rFonts w:ascii="Calibri" w:cs="Calibri" w:eastAsia="Calibri" w:hAnsi="Calibri"/>
          <w:sz w:val="18"/>
          <w:szCs w:val="18"/>
          <w:color w:val="auto"/>
        </w:rPr>
      </w:pPr>
      <w:r>
        <w:rPr>
          <w:rFonts w:ascii="Calibri" w:cs="Calibri" w:eastAsia="Calibri" w:hAnsi="Calibri"/>
          <w:sz w:val="18"/>
          <w:szCs w:val="18"/>
          <w:color w:val="auto"/>
        </w:rPr>
        <w:t>to whom informaton is required or requested to be disclosed by any court of competent jurisdicton or any governmental, banking, taxaton or other regulatory</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43" w:name="page244"/>
    <w:bookmarkEnd w:id="243"/>
    <w:p>
      <w:pPr>
        <w:ind w:left="1180"/>
        <w:spacing w:after="0"/>
        <w:rPr>
          <w:sz w:val="20"/>
          <w:szCs w:val="20"/>
          <w:color w:val="auto"/>
        </w:rPr>
      </w:pPr>
      <w:r>
        <w:rPr>
          <w:rFonts w:ascii="Calibri" w:cs="Calibri" w:eastAsia="Calibri" w:hAnsi="Calibri"/>
          <w:sz w:val="18"/>
          <w:szCs w:val="18"/>
          <w:color w:val="auto"/>
        </w:rPr>
        <w:t>authority or similar body, the rules of any relevant stock exchange or pursuant to any applicable law or regulaton;</w:t>
      </w:r>
    </w:p>
    <w:p>
      <w:pPr>
        <w:spacing w:after="0" w:line="183" w:lineRule="exact"/>
        <w:rPr>
          <w:sz w:val="20"/>
          <w:szCs w:val="20"/>
          <w:color w:val="auto"/>
        </w:rPr>
      </w:pPr>
    </w:p>
    <w:p>
      <w:pPr>
        <w:ind w:left="1180" w:hanging="591"/>
        <w:spacing w:after="0" w:line="228" w:lineRule="auto"/>
        <w:tabs>
          <w:tab w:leader="none" w:pos="1180" w:val="left"/>
        </w:tabs>
        <w:numPr>
          <w:ilvl w:val="0"/>
          <w:numId w:val="428"/>
        </w:numPr>
        <w:rPr>
          <w:rFonts w:ascii="Calibri" w:cs="Calibri" w:eastAsia="Calibri" w:hAnsi="Calibri"/>
          <w:sz w:val="18"/>
          <w:szCs w:val="18"/>
          <w:color w:val="auto"/>
        </w:rPr>
      </w:pPr>
      <w:r>
        <w:rPr>
          <w:rFonts w:ascii="Calibri" w:cs="Calibri" w:eastAsia="Calibri" w:hAnsi="Calibri"/>
          <w:sz w:val="18"/>
          <w:szCs w:val="18"/>
          <w:color w:val="auto"/>
        </w:rPr>
        <w:t>to whom informaton is required to be disclosed in connecton with, and for the purposes of, any litgaton, arbitratons, administratve or other investgatons, proceedings or disputes;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0"/>
          <w:numId w:val="428"/>
        </w:numPr>
        <w:rPr>
          <w:rFonts w:ascii="Calibri" w:cs="Calibri" w:eastAsia="Calibri" w:hAnsi="Calibri"/>
          <w:sz w:val="18"/>
          <w:szCs w:val="18"/>
          <w:color w:val="auto"/>
        </w:rPr>
      </w:pPr>
      <w:r>
        <w:rPr>
          <w:rFonts w:ascii="Calibri" w:cs="Calibri" w:eastAsia="Calibri" w:hAnsi="Calibri"/>
          <w:sz w:val="18"/>
          <w:szCs w:val="18"/>
          <w:color w:val="auto"/>
        </w:rPr>
        <w:t>to whom or for whose beneft that Creditor Party charges, assigns or otherwise creates Security (or may do so) pursuant to Clause 26.17 (</w:t>
      </w:r>
      <w:r>
        <w:rPr>
          <w:rFonts w:ascii="Calibri" w:cs="Calibri" w:eastAsia="Calibri" w:hAnsi="Calibri"/>
          <w:sz w:val="18"/>
          <w:szCs w:val="18"/>
          <w:i w:val="1"/>
          <w:iCs w:val="1"/>
          <w:color w:val="auto"/>
        </w:rPr>
        <w:t>Security over Lenders' rights</w:t>
      </w:r>
      <w:r>
        <w:rPr>
          <w:rFonts w:ascii="Calibri" w:cs="Calibri" w:eastAsia="Calibri" w:hAnsi="Calibri"/>
          <w:sz w:val="18"/>
          <w:szCs w:val="18"/>
          <w:color w:val="auto"/>
        </w:rPr>
        <w:t>);</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0"/>
          <w:numId w:val="428"/>
        </w:numPr>
        <w:rPr>
          <w:rFonts w:ascii="Calibri" w:cs="Calibri" w:eastAsia="Calibri" w:hAnsi="Calibri"/>
          <w:sz w:val="18"/>
          <w:szCs w:val="18"/>
          <w:color w:val="auto"/>
        </w:rPr>
      </w:pPr>
      <w:r>
        <w:rPr>
          <w:rFonts w:ascii="Calibri" w:cs="Calibri" w:eastAsia="Calibri" w:hAnsi="Calibri"/>
          <w:sz w:val="18"/>
          <w:szCs w:val="18"/>
          <w:color w:val="auto"/>
        </w:rPr>
        <w:t>who is a Party, a member of the Group or any related entty of the Borrower and/or any Security Party;</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0"/>
          <w:numId w:val="428"/>
        </w:numPr>
        <w:rPr>
          <w:rFonts w:ascii="Calibri" w:cs="Calibri" w:eastAsia="Calibri" w:hAnsi="Calibri"/>
          <w:sz w:val="18"/>
          <w:szCs w:val="18"/>
          <w:color w:val="auto"/>
        </w:rPr>
      </w:pPr>
      <w:r>
        <w:rPr>
          <w:rFonts w:ascii="Calibri" w:cs="Calibri" w:eastAsia="Calibri" w:hAnsi="Calibri"/>
          <w:sz w:val="18"/>
          <w:szCs w:val="18"/>
          <w:color w:val="auto"/>
        </w:rPr>
        <w:t>as a result of the registraton of any Finance Document as contemplated by any Finance Document or any legal opinion obtained in connecton with any Finance Document; or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0"/>
          <w:numId w:val="428"/>
        </w:numPr>
        <w:rPr>
          <w:rFonts w:ascii="Calibri" w:cs="Calibri" w:eastAsia="Calibri" w:hAnsi="Calibri"/>
          <w:sz w:val="18"/>
          <w:szCs w:val="18"/>
          <w:color w:val="auto"/>
        </w:rPr>
      </w:pPr>
      <w:r>
        <w:rPr>
          <w:rFonts w:ascii="Calibri" w:cs="Calibri" w:eastAsia="Calibri" w:hAnsi="Calibri"/>
          <w:sz w:val="18"/>
          <w:szCs w:val="18"/>
          <w:color w:val="auto"/>
        </w:rPr>
        <w:t>with the consent of the Borrower;</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in each case, such Confdental Informaton as that Creditor Party shall consider appropriate if:</w:t>
      </w:r>
    </w:p>
    <w:p>
      <w:pPr>
        <w:spacing w:after="0" w:line="183" w:lineRule="exact"/>
        <w:rPr>
          <w:sz w:val="20"/>
          <w:szCs w:val="20"/>
          <w:color w:val="auto"/>
        </w:rPr>
      </w:pPr>
    </w:p>
    <w:p>
      <w:pPr>
        <w:jc w:val="both"/>
        <w:ind w:left="1760" w:hanging="582"/>
        <w:spacing w:after="0" w:line="223" w:lineRule="auto"/>
        <w:tabs>
          <w:tab w:leader="none" w:pos="1760" w:val="left"/>
        </w:tabs>
        <w:numPr>
          <w:ilvl w:val="1"/>
          <w:numId w:val="429"/>
        </w:numPr>
        <w:rPr>
          <w:rFonts w:ascii="Calibri" w:cs="Calibri" w:eastAsia="Calibri" w:hAnsi="Calibri"/>
          <w:sz w:val="18"/>
          <w:szCs w:val="18"/>
          <w:color w:val="auto"/>
        </w:rPr>
      </w:pPr>
      <w:r>
        <w:rPr>
          <w:rFonts w:ascii="Calibri" w:cs="Calibri" w:eastAsia="Calibri" w:hAnsi="Calibri"/>
          <w:sz w:val="18"/>
          <w:szCs w:val="18"/>
          <w:color w:val="auto"/>
        </w:rPr>
        <w:t>in relaton to sub-paragraphs (i), (ii) and (iii) of paragraph (b) above, the person to whom the Confdental Informaton is to be given has entered into a Confdentality Undertaking except that there shall be no requirement for a Confdentality Undertaking if the recipient is a professional adviser and is subject to professional obligatons to maintain the confdentality of the Confdental Informaton;</w:t>
      </w:r>
    </w:p>
    <w:p>
      <w:pPr>
        <w:spacing w:after="0" w:line="185" w:lineRule="exact"/>
        <w:rPr>
          <w:rFonts w:ascii="Calibri" w:cs="Calibri" w:eastAsia="Calibri" w:hAnsi="Calibri"/>
          <w:sz w:val="18"/>
          <w:szCs w:val="18"/>
          <w:color w:val="auto"/>
        </w:rPr>
      </w:pPr>
    </w:p>
    <w:p>
      <w:pPr>
        <w:jc w:val="both"/>
        <w:ind w:left="1760" w:hanging="582"/>
        <w:spacing w:after="0"/>
        <w:tabs>
          <w:tab w:leader="none" w:pos="1760" w:val="left"/>
        </w:tabs>
        <w:numPr>
          <w:ilvl w:val="1"/>
          <w:numId w:val="429"/>
        </w:numPr>
        <w:rPr>
          <w:rFonts w:ascii="Calibri" w:cs="Calibri" w:eastAsia="Calibri" w:hAnsi="Calibri"/>
          <w:sz w:val="18"/>
          <w:szCs w:val="18"/>
          <w:color w:val="auto"/>
        </w:rPr>
      </w:pPr>
      <w:r>
        <w:rPr>
          <w:rFonts w:ascii="Calibri" w:cs="Calibri" w:eastAsia="Calibri" w:hAnsi="Calibri"/>
          <w:sz w:val="18"/>
          <w:szCs w:val="18"/>
          <w:color w:val="auto"/>
        </w:rPr>
        <w:t>in relaton to sub-paragraph (iv) of paragraph (b) above, the person to whom the Confdental Informaton is to be given has entered into a Confdentality Undertaking or is otherwise bound by requirements of confdentality in relaton to the Confdental Informaton they receive and is informed that some or all of such Confdental Informaton may be price-sensitve informaton;</w:t>
      </w:r>
    </w:p>
    <w:p>
      <w:pPr>
        <w:spacing w:after="0" w:line="342" w:lineRule="exact"/>
        <w:rPr>
          <w:rFonts w:ascii="Calibri" w:cs="Calibri" w:eastAsia="Calibri" w:hAnsi="Calibri"/>
          <w:sz w:val="18"/>
          <w:szCs w:val="18"/>
          <w:color w:val="auto"/>
        </w:rPr>
      </w:pPr>
    </w:p>
    <w:p>
      <w:pPr>
        <w:jc w:val="both"/>
        <w:ind w:left="1760" w:hanging="582"/>
        <w:spacing w:after="0" w:line="223" w:lineRule="auto"/>
        <w:tabs>
          <w:tab w:leader="none" w:pos="1760" w:val="left"/>
        </w:tabs>
        <w:numPr>
          <w:ilvl w:val="1"/>
          <w:numId w:val="429"/>
        </w:numPr>
        <w:rPr>
          <w:rFonts w:ascii="Calibri" w:cs="Calibri" w:eastAsia="Calibri" w:hAnsi="Calibri"/>
          <w:sz w:val="18"/>
          <w:szCs w:val="18"/>
          <w:color w:val="auto"/>
        </w:rPr>
      </w:pPr>
      <w:r>
        <w:rPr>
          <w:rFonts w:ascii="Calibri" w:cs="Calibri" w:eastAsia="Calibri" w:hAnsi="Calibri"/>
          <w:sz w:val="18"/>
          <w:szCs w:val="18"/>
          <w:color w:val="auto"/>
        </w:rPr>
        <w:t>in relaton to sub-paragraphs (v), (vi) and (vii) of paragraph (b) above, the person to whom the Confdental Informaton is to be given is informed of its confdental nature and that some or all of such Confdental Informaton may be price-sensitve informaton except that there shall be no requirement to so inform if, in the opinion of that Creditor Party, it is not practcable so to do in the circumstances;</w:t>
      </w:r>
    </w:p>
    <w:p>
      <w:pPr>
        <w:spacing w:after="0" w:line="185" w:lineRule="exact"/>
        <w:rPr>
          <w:rFonts w:ascii="Calibri" w:cs="Calibri" w:eastAsia="Calibri" w:hAnsi="Calibri"/>
          <w:sz w:val="18"/>
          <w:szCs w:val="18"/>
          <w:color w:val="auto"/>
        </w:rPr>
      </w:pPr>
    </w:p>
    <w:p>
      <w:pPr>
        <w:jc w:val="both"/>
        <w:ind w:left="580" w:hanging="580"/>
        <w:spacing w:after="0" w:line="221" w:lineRule="auto"/>
        <w:tabs>
          <w:tab w:leader="none" w:pos="580" w:val="left"/>
        </w:tabs>
        <w:numPr>
          <w:ilvl w:val="0"/>
          <w:numId w:val="430"/>
        </w:numPr>
        <w:rPr>
          <w:rFonts w:ascii="Calibri" w:cs="Calibri" w:eastAsia="Calibri" w:hAnsi="Calibri"/>
          <w:sz w:val="18"/>
          <w:szCs w:val="18"/>
          <w:color w:val="auto"/>
        </w:rPr>
      </w:pPr>
      <w:r>
        <w:rPr>
          <w:rFonts w:ascii="Calibri" w:cs="Calibri" w:eastAsia="Calibri" w:hAnsi="Calibri"/>
          <w:sz w:val="18"/>
          <w:szCs w:val="18"/>
          <w:color w:val="auto"/>
        </w:rPr>
        <w:t>to any person appointed by that Creditor Party or by a person to whom sub-paragraph (i) or (ii) of paragraph (b) above applies to provide administraton or setlement services in respect of one or more of the Finance Documents including without limitaton, in relaton to the trading of partcipatons in respect of the Finance Documents, such Confdental Informaton as may be required to be disclosed to enable such service provider to provide any of the services referred to in this paragraph (c) if the service provider to whom the Confdental Informaton is to be given has entered in to a confdentality agreement substantally in the form of the LMA Master Confdentality Undertaking for Use With Administraton/Setlement Service Providers or such other form of confdentality undertaking agreed between the Borrower and the relevant Creditor Party;</w:t>
      </w:r>
    </w:p>
    <w:p>
      <w:pPr>
        <w:spacing w:after="0" w:line="186" w:lineRule="exact"/>
        <w:rPr>
          <w:sz w:val="20"/>
          <w:szCs w:val="20"/>
          <w:color w:val="auto"/>
        </w:rPr>
      </w:pPr>
    </w:p>
    <w:p>
      <w:pPr>
        <w:jc w:val="both"/>
        <w:ind w:left="5500"/>
        <w:spacing w:after="0"/>
        <w:tabs>
          <w:tab w:leader="none" w:pos="9919"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44" w:name="page245"/>
    <w:bookmarkEnd w:id="244"/>
    <w:p>
      <w:pPr>
        <w:ind w:left="580" w:hanging="580"/>
        <w:spacing w:after="0" w:line="228" w:lineRule="auto"/>
        <w:tabs>
          <w:tab w:leader="none" w:pos="580" w:val="left"/>
        </w:tabs>
        <w:numPr>
          <w:ilvl w:val="0"/>
          <w:numId w:val="431"/>
        </w:numPr>
        <w:rPr>
          <w:rFonts w:ascii="Calibri" w:cs="Calibri" w:eastAsia="Calibri" w:hAnsi="Calibri"/>
          <w:sz w:val="18"/>
          <w:szCs w:val="18"/>
          <w:color w:val="auto"/>
        </w:rPr>
      </w:pPr>
      <w:r>
        <w:rPr>
          <w:rFonts w:ascii="Calibri" w:cs="Calibri" w:eastAsia="Calibri" w:hAnsi="Calibri"/>
          <w:sz w:val="18"/>
          <w:szCs w:val="18"/>
          <w:color w:val="auto"/>
        </w:rPr>
        <w:t>to any ratng agency (including its professional advisers) such Confdental Informaton as may be required to be disclosed to enable such ratng agency to carry out its normal ratng actvites in relaton to the Finance Documents and/or the Borrower and/or any Security Party.</w:t>
      </w:r>
    </w:p>
    <w:p>
      <w:pPr>
        <w:spacing w:after="0" w:line="183" w:lineRule="exact"/>
        <w:rPr>
          <w:rFonts w:ascii="Calibri" w:cs="Calibri" w:eastAsia="Calibri" w:hAnsi="Calibri"/>
          <w:sz w:val="18"/>
          <w:szCs w:val="18"/>
          <w:color w:val="auto"/>
        </w:rPr>
      </w:pPr>
    </w:p>
    <w:p>
      <w:pPr>
        <w:jc w:val="both"/>
        <w:ind w:left="580" w:hanging="580"/>
        <w:spacing w:after="0" w:line="223" w:lineRule="auto"/>
        <w:tabs>
          <w:tab w:leader="none" w:pos="580" w:val="left"/>
        </w:tabs>
        <w:numPr>
          <w:ilvl w:val="0"/>
          <w:numId w:val="431"/>
        </w:numPr>
        <w:rPr>
          <w:rFonts w:ascii="Calibri" w:cs="Calibri" w:eastAsia="Calibri" w:hAnsi="Calibri"/>
          <w:sz w:val="18"/>
          <w:szCs w:val="18"/>
          <w:color w:val="auto"/>
        </w:rPr>
      </w:pPr>
      <w:r>
        <w:rPr>
          <w:rFonts w:ascii="Calibri" w:cs="Calibri" w:eastAsia="Calibri" w:hAnsi="Calibri"/>
          <w:sz w:val="18"/>
          <w:szCs w:val="18"/>
          <w:color w:val="auto"/>
        </w:rPr>
        <w:t>Each Creditor Party is released from its respectve obligatons of secrecy and from banking confdentality under any law or regulaton applicable to it. This permission set out in paragraphs (a) and (d) of this Clause 30.2 is given for the purposes of giving relief from banking secrecy and confdentality requirements. It is not intended as and is no declaraton of consent in accordance with the DS_GVO (EU Regulaton 2016/679, General Data Protecton Regulaton).</w:t>
      </w:r>
    </w:p>
    <w:p>
      <w:pPr>
        <w:spacing w:after="0" w:line="183"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30.3</w:t>
        <w:tab/>
        <w:t>Disclosure to numbering service providers</w:t>
      </w:r>
    </w:p>
    <w:p>
      <w:pPr>
        <w:spacing w:after="0" w:line="183" w:lineRule="exact"/>
        <w:rPr>
          <w:sz w:val="20"/>
          <w:szCs w:val="20"/>
          <w:color w:val="auto"/>
        </w:rPr>
      </w:pPr>
    </w:p>
    <w:p>
      <w:pPr>
        <w:jc w:val="both"/>
        <w:ind w:left="580" w:hanging="580"/>
        <w:spacing w:after="0"/>
        <w:tabs>
          <w:tab w:leader="none" w:pos="580" w:val="left"/>
        </w:tabs>
        <w:numPr>
          <w:ilvl w:val="0"/>
          <w:numId w:val="432"/>
        </w:numPr>
        <w:rPr>
          <w:rFonts w:ascii="Calibri" w:cs="Calibri" w:eastAsia="Calibri" w:hAnsi="Calibri"/>
          <w:sz w:val="18"/>
          <w:szCs w:val="18"/>
          <w:color w:val="auto"/>
        </w:rPr>
      </w:pPr>
      <w:r>
        <w:rPr>
          <w:rFonts w:ascii="Calibri" w:cs="Calibri" w:eastAsia="Calibri" w:hAnsi="Calibri"/>
          <w:sz w:val="18"/>
          <w:szCs w:val="18"/>
          <w:color w:val="auto"/>
        </w:rPr>
        <w:t>Any Creditor Party may disclose to any natonal or internatonal numbering service provider appointed by that Creditor Party to provide identfcaton numbering services in respect of this Agreement, the Loan and/or the Borrower and/or any Security Party the following informaton:</w:t>
      </w:r>
    </w:p>
    <w:p>
      <w:pPr>
        <w:spacing w:after="0" w:line="360"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names of the Borrower and the Security Partes;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country of domicile of the Borrower and the Security Partes;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place of incorporaton of the Borrower and the Security Partes;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date of this Agreement;</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Clause 32;</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the names of the Agent and the Mandated Lead Arranger;</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date of each amendment and restatement of this Agreement;</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amount of Total Commitments;</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currency of the Loan;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type of facility;</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ranking of Loan;</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Final Repayment Date;</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changes to any of the informaton previously supplied pursuant to sub-paragraphs (i) to (xii) above;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32"/>
        </w:numPr>
        <w:rPr>
          <w:rFonts w:ascii="Calibri" w:cs="Calibri" w:eastAsia="Calibri" w:hAnsi="Calibri"/>
          <w:sz w:val="18"/>
          <w:szCs w:val="18"/>
          <w:color w:val="auto"/>
        </w:rPr>
      </w:pPr>
      <w:r>
        <w:rPr>
          <w:rFonts w:ascii="Calibri" w:cs="Calibri" w:eastAsia="Calibri" w:hAnsi="Calibri"/>
          <w:sz w:val="18"/>
          <w:szCs w:val="18"/>
          <w:color w:val="auto"/>
        </w:rPr>
        <w:t>such other informaton agreed between such Creditor Party and the Borrower,</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to enable such numbering service provider to provide its usual syndicated loan numbering identfcaton services.</w:t>
      </w:r>
    </w:p>
    <w:p>
      <w:pPr>
        <w:spacing w:after="0" w:line="183" w:lineRule="exact"/>
        <w:rPr>
          <w:sz w:val="20"/>
          <w:szCs w:val="20"/>
          <w:color w:val="auto"/>
        </w:rPr>
      </w:pPr>
    </w:p>
    <w:p>
      <w:pPr>
        <w:ind w:left="580" w:hanging="580"/>
        <w:spacing w:after="0" w:line="228" w:lineRule="auto"/>
        <w:tabs>
          <w:tab w:leader="none" w:pos="580" w:val="left"/>
        </w:tabs>
        <w:numPr>
          <w:ilvl w:val="0"/>
          <w:numId w:val="433"/>
        </w:numPr>
        <w:rPr>
          <w:rFonts w:ascii="Calibri" w:cs="Calibri" w:eastAsia="Calibri" w:hAnsi="Calibri"/>
          <w:sz w:val="18"/>
          <w:szCs w:val="18"/>
          <w:color w:val="auto"/>
        </w:rPr>
      </w:pPr>
      <w:r>
        <w:rPr>
          <w:rFonts w:ascii="Calibri" w:cs="Calibri" w:eastAsia="Calibri" w:hAnsi="Calibri"/>
          <w:sz w:val="18"/>
          <w:szCs w:val="18"/>
          <w:color w:val="auto"/>
        </w:rPr>
        <w:t>The Partes acknowledge and agree that each identfcaton number assigned to this Agreement, the Loan and/or the Borrower and/or any Security Party by a numbering service provider and the informaton associated with each such number may be disclosed to users of</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9" w:right="339" w:bottom="1440" w:gutter="0" w:footer="0" w:header="0"/>
        </w:sectPr>
      </w:pPr>
    </w:p>
    <w:bookmarkStart w:id="245" w:name="page246"/>
    <w:bookmarkEnd w:id="245"/>
    <w:p>
      <w:pPr>
        <w:ind w:left="600"/>
        <w:spacing w:after="0"/>
        <w:rPr>
          <w:sz w:val="20"/>
          <w:szCs w:val="20"/>
          <w:color w:val="auto"/>
        </w:rPr>
      </w:pPr>
      <w:r>
        <w:rPr>
          <w:rFonts w:ascii="Calibri" w:cs="Calibri" w:eastAsia="Calibri" w:hAnsi="Calibri"/>
          <w:sz w:val="18"/>
          <w:szCs w:val="18"/>
          <w:color w:val="auto"/>
        </w:rPr>
        <w:t>its services in accordance with the standard terms and conditons of that numbering service provider.</w:t>
      </w:r>
    </w:p>
    <w:p>
      <w:pPr>
        <w:spacing w:after="0" w:line="183" w:lineRule="exact"/>
        <w:rPr>
          <w:sz w:val="20"/>
          <w:szCs w:val="20"/>
          <w:color w:val="auto"/>
        </w:rPr>
      </w:pPr>
    </w:p>
    <w:p>
      <w:pPr>
        <w:ind w:left="580" w:hanging="580"/>
        <w:spacing w:after="0" w:line="228" w:lineRule="auto"/>
        <w:tabs>
          <w:tab w:leader="none" w:pos="580" w:val="left"/>
        </w:tabs>
        <w:numPr>
          <w:ilvl w:val="0"/>
          <w:numId w:val="434"/>
        </w:numPr>
        <w:rPr>
          <w:rFonts w:ascii="Calibri" w:cs="Calibri" w:eastAsia="Calibri" w:hAnsi="Calibri"/>
          <w:sz w:val="18"/>
          <w:szCs w:val="18"/>
          <w:color w:val="auto"/>
        </w:rPr>
      </w:pPr>
      <w:r>
        <w:rPr>
          <w:rFonts w:ascii="Calibri" w:cs="Calibri" w:eastAsia="Calibri" w:hAnsi="Calibri"/>
          <w:sz w:val="18"/>
          <w:szCs w:val="18"/>
          <w:color w:val="auto"/>
        </w:rPr>
        <w:t>The Borrower represents, on behalf of itself and each Security Party, that none of the informaton set out in sub-paragraphs (i) to (xiv) of paragraph (a) above is, nor will at any tme be, unpublished price-sensitve informaton.</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34"/>
        </w:numPr>
        <w:rPr>
          <w:rFonts w:ascii="Calibri" w:cs="Calibri" w:eastAsia="Calibri" w:hAnsi="Calibri"/>
          <w:sz w:val="18"/>
          <w:szCs w:val="18"/>
          <w:color w:val="auto"/>
        </w:rPr>
      </w:pPr>
      <w:r>
        <w:rPr>
          <w:rFonts w:ascii="Calibri" w:cs="Calibri" w:eastAsia="Calibri" w:hAnsi="Calibri"/>
          <w:sz w:val="18"/>
          <w:szCs w:val="18"/>
          <w:color w:val="auto"/>
        </w:rPr>
        <w:t>The Agent shall notfy the Borrower and the other Creditor Partes of:</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34"/>
        </w:numPr>
        <w:rPr>
          <w:rFonts w:ascii="Calibri" w:cs="Calibri" w:eastAsia="Calibri" w:hAnsi="Calibri"/>
          <w:sz w:val="18"/>
          <w:szCs w:val="18"/>
          <w:color w:val="auto"/>
        </w:rPr>
      </w:pPr>
      <w:r>
        <w:rPr>
          <w:rFonts w:ascii="Calibri" w:cs="Calibri" w:eastAsia="Calibri" w:hAnsi="Calibri"/>
          <w:sz w:val="18"/>
          <w:szCs w:val="18"/>
          <w:color w:val="auto"/>
        </w:rPr>
        <w:t>the name of any numbering service provider appointed by the Agent in respect of this Agreement, the Loan and/or the Borrower and/or any Security Party; and</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34"/>
        </w:numPr>
        <w:rPr>
          <w:rFonts w:ascii="Calibri" w:cs="Calibri" w:eastAsia="Calibri" w:hAnsi="Calibri"/>
          <w:sz w:val="18"/>
          <w:szCs w:val="18"/>
          <w:color w:val="auto"/>
        </w:rPr>
      </w:pPr>
      <w:r>
        <w:rPr>
          <w:rFonts w:ascii="Calibri" w:cs="Calibri" w:eastAsia="Calibri" w:hAnsi="Calibri"/>
          <w:sz w:val="18"/>
          <w:szCs w:val="18"/>
          <w:color w:val="auto"/>
        </w:rPr>
        <w:t>the number or, as the case may be, numbers assigned to this Agreement, the Loan and/or the Borrower and/or any Security Party by such numbering service provider.</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30.4</w:t>
        <w:tab/>
        <w:t>Entre agreement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This Clause 30 consttutes the entre agreement between the Partes in relaton to the obligatons of the Creditor Partes under the Finance Documents regarding Confdental Informaton and supersedes any previous agreement, whether express or implied, regarding Confdental Informaton.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30.5</w:t>
        <w:tab/>
        <w:t>Inside informaton</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Each of the Creditor Partes acknowledges that some or all of the Confdental Informaton is or may be price-sensitve informaton and that the use of such informaton may be regulated or prohibited by applicable legislaton including securites law relatng to insider dealing and market abuse and each of the Creditor Partes undertakes not to use any Confdental Informaton for any unlawful purpose.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30.6</w:t>
        <w:tab/>
        <w:t>Notfcaton of disclosure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Each of the Creditor Partes agrees (to the extent permited by law and regulaton) to inform the Borrower:</w:t>
      </w:r>
    </w:p>
    <w:p>
      <w:pPr>
        <w:spacing w:after="0" w:line="183" w:lineRule="exact"/>
        <w:rPr>
          <w:sz w:val="20"/>
          <w:szCs w:val="20"/>
          <w:color w:val="auto"/>
        </w:rPr>
      </w:pPr>
    </w:p>
    <w:p>
      <w:pPr>
        <w:jc w:val="both"/>
        <w:ind w:left="580" w:hanging="580"/>
        <w:spacing w:after="0" w:line="225" w:lineRule="auto"/>
        <w:tabs>
          <w:tab w:leader="none" w:pos="580" w:val="left"/>
        </w:tabs>
        <w:numPr>
          <w:ilvl w:val="0"/>
          <w:numId w:val="435"/>
        </w:numPr>
        <w:rPr>
          <w:rFonts w:ascii="Calibri" w:cs="Calibri" w:eastAsia="Calibri" w:hAnsi="Calibri"/>
          <w:sz w:val="18"/>
          <w:szCs w:val="18"/>
          <w:color w:val="auto"/>
        </w:rPr>
      </w:pPr>
      <w:r>
        <w:rPr>
          <w:rFonts w:ascii="Calibri" w:cs="Calibri" w:eastAsia="Calibri" w:hAnsi="Calibri"/>
          <w:sz w:val="18"/>
          <w:szCs w:val="18"/>
          <w:color w:val="auto"/>
        </w:rPr>
        <w:t>of the circumstances of any disclosure of Confdental Informaton made pursuant to sub-paragraph (v) of paragraph (b) of Clause 30.2 except where such disclosure is made to any of the persons referred to in that paragraph during the ordinary course of its supervisory or regulatory functon;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35"/>
        </w:numPr>
        <w:rPr>
          <w:rFonts w:ascii="Calibri" w:cs="Calibri" w:eastAsia="Calibri" w:hAnsi="Calibri"/>
          <w:sz w:val="18"/>
          <w:szCs w:val="18"/>
          <w:color w:val="auto"/>
        </w:rPr>
      </w:pPr>
      <w:r>
        <w:rPr>
          <w:rFonts w:ascii="Calibri" w:cs="Calibri" w:eastAsia="Calibri" w:hAnsi="Calibri"/>
          <w:sz w:val="18"/>
          <w:szCs w:val="18"/>
          <w:color w:val="auto"/>
        </w:rPr>
        <w:t>upon becoming aware that Confdental Informaton has been disclosed in breach of this Clause 30.</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30.7</w:t>
        <w:tab/>
        <w:t>Contnuing obligatons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obligatons in this Clause 30 are contnuing and, in partcular, shall survive and remain binding on each Creditor Party for a period of 12 months from the earlier of:</w:t>
      </w:r>
    </w:p>
    <w:p>
      <w:pPr>
        <w:spacing w:after="0" w:line="184" w:lineRule="exact"/>
        <w:rPr>
          <w:sz w:val="20"/>
          <w:szCs w:val="20"/>
          <w:color w:val="auto"/>
        </w:rPr>
      </w:pPr>
    </w:p>
    <w:p>
      <w:pPr>
        <w:ind w:left="580" w:hanging="580"/>
        <w:spacing w:after="0" w:line="228" w:lineRule="auto"/>
        <w:tabs>
          <w:tab w:leader="none" w:pos="580" w:val="left"/>
        </w:tabs>
        <w:numPr>
          <w:ilvl w:val="0"/>
          <w:numId w:val="436"/>
        </w:numPr>
        <w:rPr>
          <w:rFonts w:ascii="Calibri" w:cs="Calibri" w:eastAsia="Calibri" w:hAnsi="Calibri"/>
          <w:sz w:val="18"/>
          <w:szCs w:val="18"/>
          <w:color w:val="auto"/>
        </w:rPr>
      </w:pPr>
      <w:r>
        <w:rPr>
          <w:rFonts w:ascii="Calibri" w:cs="Calibri" w:eastAsia="Calibri" w:hAnsi="Calibri"/>
          <w:sz w:val="18"/>
          <w:szCs w:val="18"/>
          <w:color w:val="auto"/>
        </w:rPr>
        <w:t>the date on which all amounts payable by the Borrower under or in connecton with this Agreement have been paid in full and all Commitments have been cancelled or otherwise cease to be available;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36"/>
        </w:numPr>
        <w:rPr>
          <w:rFonts w:ascii="Calibri" w:cs="Calibri" w:eastAsia="Calibri" w:hAnsi="Calibri"/>
          <w:sz w:val="18"/>
          <w:szCs w:val="18"/>
          <w:color w:val="auto"/>
        </w:rPr>
      </w:pPr>
      <w:r>
        <w:rPr>
          <w:rFonts w:ascii="Calibri" w:cs="Calibri" w:eastAsia="Calibri" w:hAnsi="Calibri"/>
          <w:sz w:val="18"/>
          <w:szCs w:val="18"/>
          <w:color w:val="auto"/>
        </w:rPr>
        <w:t>the date on which such Creditor Party otherwise ceases to be a Creditor Party.</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46" w:name="page247"/>
    <w:bookmarkEnd w:id="246"/>
    <w:p>
      <w:pPr>
        <w:spacing w:after="0"/>
        <w:tabs>
          <w:tab w:leader="none" w:pos="560" w:val="left"/>
        </w:tabs>
        <w:rPr>
          <w:sz w:val="20"/>
          <w:szCs w:val="20"/>
          <w:color w:val="auto"/>
        </w:rPr>
      </w:pPr>
      <w:r>
        <w:rPr>
          <w:rFonts w:ascii="Calibri" w:cs="Calibri" w:eastAsia="Calibri" w:hAnsi="Calibri"/>
          <w:sz w:val="18"/>
          <w:szCs w:val="18"/>
          <w:b w:val="1"/>
          <w:bCs w:val="1"/>
          <w:color w:val="auto"/>
        </w:rPr>
        <w:t>31</w:t>
      </w:r>
      <w:r>
        <w:rPr>
          <w:sz w:val="20"/>
          <w:szCs w:val="20"/>
          <w:color w:val="auto"/>
        </w:rPr>
        <w:tab/>
      </w:r>
      <w:r>
        <w:rPr>
          <w:rFonts w:ascii="Calibri" w:cs="Calibri" w:eastAsia="Calibri" w:hAnsi="Calibri"/>
          <w:sz w:val="18"/>
          <w:szCs w:val="18"/>
          <w:b w:val="1"/>
          <w:bCs w:val="1"/>
          <w:color w:val="auto"/>
        </w:rPr>
        <w:t>SUPPLEMENTAL</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31.1</w:t>
        <w:tab/>
        <w:t>Rights cumulatve, non-exclusive</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rights and remedies which the Finance Documents give to each Creditor Party are:</w:t>
      </w:r>
    </w:p>
    <w:p>
      <w:pPr>
        <w:spacing w:after="0" w:line="181" w:lineRule="exact"/>
        <w:rPr>
          <w:sz w:val="20"/>
          <w:szCs w:val="20"/>
          <w:color w:val="auto"/>
        </w:rPr>
      </w:pPr>
    </w:p>
    <w:p>
      <w:pPr>
        <w:ind w:left="580" w:hanging="580"/>
        <w:spacing w:after="0"/>
        <w:tabs>
          <w:tab w:leader="none" w:pos="580" w:val="left"/>
        </w:tabs>
        <w:numPr>
          <w:ilvl w:val="0"/>
          <w:numId w:val="437"/>
        </w:numPr>
        <w:rPr>
          <w:rFonts w:ascii="Calibri" w:cs="Calibri" w:eastAsia="Calibri" w:hAnsi="Calibri"/>
          <w:sz w:val="18"/>
          <w:szCs w:val="18"/>
          <w:color w:val="auto"/>
        </w:rPr>
      </w:pPr>
      <w:r>
        <w:rPr>
          <w:rFonts w:ascii="Calibri" w:cs="Calibri" w:eastAsia="Calibri" w:hAnsi="Calibri"/>
          <w:sz w:val="18"/>
          <w:szCs w:val="18"/>
          <w:color w:val="auto"/>
        </w:rPr>
        <w:t>cumulatve;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37"/>
        </w:numPr>
        <w:rPr>
          <w:rFonts w:ascii="Calibri" w:cs="Calibri" w:eastAsia="Calibri" w:hAnsi="Calibri"/>
          <w:sz w:val="18"/>
          <w:szCs w:val="18"/>
          <w:color w:val="auto"/>
        </w:rPr>
      </w:pPr>
      <w:r>
        <w:rPr>
          <w:rFonts w:ascii="Calibri" w:cs="Calibri" w:eastAsia="Calibri" w:hAnsi="Calibri"/>
          <w:sz w:val="18"/>
          <w:szCs w:val="18"/>
          <w:color w:val="auto"/>
        </w:rPr>
        <w:t>may be exercised as ofen as appears expedient; and</w:t>
      </w:r>
    </w:p>
    <w:p>
      <w:pPr>
        <w:spacing w:after="0" w:line="183" w:lineRule="exact"/>
        <w:rPr>
          <w:rFonts w:ascii="Calibri" w:cs="Calibri" w:eastAsia="Calibri" w:hAnsi="Calibri"/>
          <w:sz w:val="18"/>
          <w:szCs w:val="18"/>
          <w:color w:val="auto"/>
        </w:rPr>
      </w:pPr>
    </w:p>
    <w:p>
      <w:pPr>
        <w:ind w:left="580" w:hanging="580"/>
        <w:spacing w:after="0"/>
        <w:tabs>
          <w:tab w:leader="none" w:pos="580" w:val="left"/>
        </w:tabs>
        <w:numPr>
          <w:ilvl w:val="0"/>
          <w:numId w:val="437"/>
        </w:numPr>
        <w:rPr>
          <w:rFonts w:ascii="Calibri" w:cs="Calibri" w:eastAsia="Calibri" w:hAnsi="Calibri"/>
          <w:sz w:val="18"/>
          <w:szCs w:val="18"/>
          <w:color w:val="auto"/>
        </w:rPr>
      </w:pPr>
      <w:r>
        <w:rPr>
          <w:rFonts w:ascii="Calibri" w:cs="Calibri" w:eastAsia="Calibri" w:hAnsi="Calibri"/>
          <w:sz w:val="18"/>
          <w:szCs w:val="18"/>
          <w:color w:val="auto"/>
        </w:rPr>
        <w:t>shall not, unless a Finance Document explicitly and specifcally states so, be taken to exclude or limit any right or remedy conferred by any law.</w:t>
      </w:r>
    </w:p>
    <w:p>
      <w:pPr>
        <w:spacing w:after="0" w:line="379"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31.2</w:t>
        <w:tab/>
        <w:t>Severability of provisions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If any provision of a Finance Document is or subsequently becomes void, unenforceable or illegal, that shall not afect the validity, enforceability or legality of the other provisions of that Finance Document or of the provisions of any other Finance Document.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31.3</w:t>
        <w:tab/>
        <w:t>Counterparts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 Finance Document may be executed in any number of counterparts.</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31.4</w:t>
        <w:tab/>
        <w:t>Third party rights</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A person who is not a party to this Agreement has no right under the Contracts (Rights of Third Partes) Act 1999 to enforce or to enjoy the beneft of any term of this Agreement.</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31.5</w:t>
        <w:tab/>
        <w:t>Beneft and binding efect</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The terms of this Agreement shall be binding upon, and shall enure to the beneft of, the Partes hereto and their respectve (including subsequent) successors and permited assigns and transferees.</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31.6</w:t>
        <w:tab/>
        <w:t>Electronic Disclosure</w:t>
      </w:r>
    </w:p>
    <w:p>
      <w:pPr>
        <w:spacing w:after="0" w:line="183" w:lineRule="exact"/>
        <w:rPr>
          <w:sz w:val="20"/>
          <w:szCs w:val="20"/>
          <w:color w:val="auto"/>
        </w:rPr>
      </w:pPr>
    </w:p>
    <w:p>
      <w:pPr>
        <w:jc w:val="both"/>
        <w:ind w:left="580" w:hanging="580"/>
        <w:spacing w:after="0" w:line="223" w:lineRule="auto"/>
        <w:tabs>
          <w:tab w:leader="none" w:pos="580" w:val="left"/>
        </w:tabs>
        <w:numPr>
          <w:ilvl w:val="0"/>
          <w:numId w:val="438"/>
        </w:numPr>
        <w:rPr>
          <w:rFonts w:ascii="Calibri" w:cs="Calibri" w:eastAsia="Calibri" w:hAnsi="Calibri"/>
          <w:sz w:val="18"/>
          <w:szCs w:val="18"/>
          <w:color w:val="auto"/>
        </w:rPr>
      </w:pPr>
      <w:r>
        <w:rPr>
          <w:rFonts w:ascii="Calibri" w:cs="Calibri" w:eastAsia="Calibri" w:hAnsi="Calibri"/>
          <w:sz w:val="18"/>
          <w:szCs w:val="18"/>
          <w:color w:val="auto"/>
        </w:rPr>
        <w:t>The Borrower and the Owner each hereby recognise as binding any relevant documents (whether signed or not) to fulfl the disclosure of the fnancial circumstances in accordance with Sec. 18 of the German Banking Act (KWG) that were or are, afer the date of this Agreement, submited to Hamburg Commercial Bank AG electronically or on data carriers through the Borrower, any Security Party or any third party and declare such documents as complete and correct.</w:t>
      </w:r>
    </w:p>
    <w:p>
      <w:pPr>
        <w:spacing w:after="0" w:line="185"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38"/>
        </w:numPr>
        <w:rPr>
          <w:rFonts w:ascii="Calibri" w:cs="Calibri" w:eastAsia="Calibri" w:hAnsi="Calibri"/>
          <w:sz w:val="18"/>
          <w:szCs w:val="18"/>
          <w:color w:val="auto"/>
        </w:rPr>
      </w:pPr>
      <w:r>
        <w:rPr>
          <w:rFonts w:ascii="Calibri" w:cs="Calibri" w:eastAsia="Calibri" w:hAnsi="Calibri"/>
          <w:sz w:val="18"/>
          <w:szCs w:val="18"/>
          <w:color w:val="auto"/>
        </w:rPr>
        <w:t>Any documents submited to Hamburg Commercial Bank AG electronically or on data carriers in accordance with Sec. 18 of the German Banking Act (KWG) have the same legal signifcance as any signed documents in paper form.</w:t>
      </w:r>
    </w:p>
    <w:p>
      <w:pPr>
        <w:spacing w:after="0" w:line="182" w:lineRule="exact"/>
        <w:rPr>
          <w:sz w:val="20"/>
          <w:szCs w:val="20"/>
          <w:color w:val="auto"/>
        </w:rPr>
      </w:pPr>
    </w:p>
    <w:p>
      <w:pPr>
        <w:ind w:left="580" w:hanging="580"/>
        <w:spacing w:after="0"/>
        <w:tabs>
          <w:tab w:leader="none" w:pos="580" w:val="left"/>
        </w:tabs>
        <w:numPr>
          <w:ilvl w:val="0"/>
          <w:numId w:val="43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LAW AND JURISDICTION</w:t>
      </w:r>
    </w:p>
    <w:p>
      <w:pPr>
        <w:spacing w:after="0" w:line="181" w:lineRule="exact"/>
        <w:rPr>
          <w:rFonts w:ascii="Calibri" w:cs="Calibri" w:eastAsia="Calibri" w:hAnsi="Calibri"/>
          <w:sz w:val="18"/>
          <w:szCs w:val="18"/>
          <w:b w:val="1"/>
          <w:bCs w:val="1"/>
          <w:color w:val="auto"/>
        </w:rPr>
      </w:pPr>
    </w:p>
    <w:p>
      <w:pPr>
        <w:ind w:left="240" w:hanging="240"/>
        <w:spacing w:after="0"/>
        <w:tabs>
          <w:tab w:leader="none" w:pos="240" w:val="left"/>
        </w:tabs>
        <w:numPr>
          <w:ilvl w:val="0"/>
          <w:numId w:val="44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1   English law</w:t>
      </w:r>
    </w:p>
    <w:p>
      <w:pPr>
        <w:spacing w:after="0" w:line="183" w:lineRule="exact"/>
        <w:rPr>
          <w:sz w:val="20"/>
          <w:szCs w:val="20"/>
          <w:color w:val="auto"/>
        </w:rPr>
      </w:pPr>
    </w:p>
    <w:p>
      <w:pPr>
        <w:ind w:left="600"/>
        <w:spacing w:after="0" w:line="228" w:lineRule="auto"/>
        <w:rPr>
          <w:sz w:val="20"/>
          <w:szCs w:val="20"/>
          <w:color w:val="auto"/>
        </w:rPr>
      </w:pPr>
      <w:r>
        <w:rPr>
          <w:rFonts w:ascii="Calibri" w:cs="Calibri" w:eastAsia="Calibri" w:hAnsi="Calibri"/>
          <w:sz w:val="18"/>
          <w:szCs w:val="18"/>
          <w:color w:val="auto"/>
        </w:rPr>
        <w:t>This Agreement and any non-contractual obligatons arising out of or in connecton with it shall be governed by, and construed in accordance with, English law.</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47" w:name="page248"/>
    <w:bookmarkEnd w:id="247"/>
    <w:p>
      <w:pPr>
        <w:spacing w:after="0"/>
        <w:tabs>
          <w:tab w:leader="none" w:pos="560" w:val="left"/>
        </w:tabs>
        <w:rPr>
          <w:sz w:val="20"/>
          <w:szCs w:val="20"/>
          <w:color w:val="auto"/>
        </w:rPr>
      </w:pPr>
      <w:r>
        <w:rPr>
          <w:rFonts w:ascii="Calibri" w:cs="Calibri" w:eastAsia="Calibri" w:hAnsi="Calibri"/>
          <w:sz w:val="18"/>
          <w:szCs w:val="18"/>
          <w:b w:val="1"/>
          <w:bCs w:val="1"/>
          <w:color w:val="auto"/>
        </w:rPr>
        <w:t>32.2</w:t>
        <w:tab/>
        <w:t>Exclusive English jurisdicton</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Subject to Clause 32.3, the courts of England shall have exclusive jurisdicton to setle any Dispute.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32.3</w:t>
        <w:tab/>
        <w:t>Choice of forum for the exclusive beneft of the Creditor Partes</w:t>
      </w:r>
    </w:p>
    <w:p>
      <w:pPr>
        <w:spacing w:after="0" w:line="181"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Clause 32.2 is for the exclusive beneft of the Creditor Partes, each of which reserves the right:</w:t>
      </w:r>
    </w:p>
    <w:p>
      <w:pPr>
        <w:spacing w:after="0" w:line="183" w:lineRule="exact"/>
        <w:rPr>
          <w:sz w:val="20"/>
          <w:szCs w:val="20"/>
          <w:color w:val="auto"/>
        </w:rPr>
      </w:pPr>
    </w:p>
    <w:p>
      <w:pPr>
        <w:ind w:left="580" w:hanging="580"/>
        <w:spacing w:after="0" w:line="228" w:lineRule="auto"/>
        <w:tabs>
          <w:tab w:leader="none" w:pos="580" w:val="left"/>
        </w:tabs>
        <w:numPr>
          <w:ilvl w:val="0"/>
          <w:numId w:val="441"/>
        </w:numPr>
        <w:rPr>
          <w:rFonts w:ascii="Calibri" w:cs="Calibri" w:eastAsia="Calibri" w:hAnsi="Calibri"/>
          <w:sz w:val="18"/>
          <w:szCs w:val="18"/>
          <w:color w:val="auto"/>
        </w:rPr>
      </w:pPr>
      <w:r>
        <w:rPr>
          <w:rFonts w:ascii="Calibri" w:cs="Calibri" w:eastAsia="Calibri" w:hAnsi="Calibri"/>
          <w:sz w:val="18"/>
          <w:szCs w:val="18"/>
          <w:color w:val="auto"/>
        </w:rPr>
        <w:t>to commence proceedings in relaton to any Dispute in the courts of any country other than England and which have or claim jurisdicton to that Dispute;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41"/>
        </w:numPr>
        <w:rPr>
          <w:rFonts w:ascii="Calibri" w:cs="Calibri" w:eastAsia="Calibri" w:hAnsi="Calibri"/>
          <w:sz w:val="18"/>
          <w:szCs w:val="18"/>
          <w:color w:val="auto"/>
        </w:rPr>
      </w:pPr>
      <w:r>
        <w:rPr>
          <w:rFonts w:ascii="Calibri" w:cs="Calibri" w:eastAsia="Calibri" w:hAnsi="Calibri"/>
          <w:sz w:val="18"/>
          <w:szCs w:val="18"/>
          <w:color w:val="auto"/>
        </w:rPr>
        <w:t>to commence such proceedings in the courts of any such country or countries concurrently with or in additon to proceedings in England or without commencing proceedings in England.</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The Borrower shall not commence any proceedings in any country other than England in relaton to a Dispute.</w:t>
      </w:r>
    </w:p>
    <w:p>
      <w:pPr>
        <w:spacing w:after="0" w:line="181"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32.4</w:t>
        <w:tab/>
        <w:t>Process agent</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Borrower irrevocably appoints Curzon Maritme Ltd. at their ofce for the tme being, presently at 60 Sloane Avenue SW3 3DD, London, England to act as its agent to receive and accept on its behalf any process or other document relatng to any proceedings in the English courts which are connected with a Dispute.</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32.5</w:t>
        <w:tab/>
        <w:t>Creditor Party rights unafected</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Nothing in this Clause 32 shall exclude or limit any right which any Creditor Party may have (whether under the law of any country, an internatonal conventon or otherwise) with regard to the bringing of proceedings, the service of process, the recogniton or enforcement of a judgment or any similar or related mater in any jurisdicton.</w:t>
      </w:r>
    </w:p>
    <w:p>
      <w:pPr>
        <w:spacing w:after="0" w:line="18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b w:val="1"/>
          <w:bCs w:val="1"/>
          <w:color w:val="auto"/>
        </w:rPr>
        <w:t>32.6</w:t>
        <w:tab/>
        <w:t>Meaning of "proceedings" and "Dispute"</w:t>
      </w:r>
    </w:p>
    <w:p>
      <w:pPr>
        <w:spacing w:after="0" w:line="183"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In this Clause 32, "</w:t>
      </w:r>
      <w:r>
        <w:rPr>
          <w:rFonts w:ascii="Calibri" w:cs="Calibri" w:eastAsia="Calibri" w:hAnsi="Calibri"/>
          <w:sz w:val="18"/>
          <w:szCs w:val="18"/>
          <w:b w:val="1"/>
          <w:bCs w:val="1"/>
          <w:color w:val="auto"/>
        </w:rPr>
        <w:t>proceedings</w:t>
      </w:r>
      <w:r>
        <w:rPr>
          <w:rFonts w:ascii="Calibri" w:cs="Calibri" w:eastAsia="Calibri" w:hAnsi="Calibri"/>
          <w:sz w:val="18"/>
          <w:szCs w:val="18"/>
          <w:color w:val="auto"/>
        </w:rPr>
        <w:t>" means proceedings of any kind, including an applicaton for a provisional or protectve measure and a "</w:t>
      </w:r>
      <w:r>
        <w:rPr>
          <w:rFonts w:ascii="Calibri" w:cs="Calibri" w:eastAsia="Calibri" w:hAnsi="Calibri"/>
          <w:sz w:val="18"/>
          <w:szCs w:val="18"/>
          <w:b w:val="1"/>
          <w:bCs w:val="1"/>
          <w:color w:val="auto"/>
        </w:rPr>
        <w:t>Dispute</w:t>
      </w:r>
      <w:r>
        <w:rPr>
          <w:rFonts w:ascii="Calibri" w:cs="Calibri" w:eastAsia="Calibri" w:hAnsi="Calibri"/>
          <w:sz w:val="18"/>
          <w:szCs w:val="18"/>
          <w:color w:val="auto"/>
        </w:rPr>
        <w:t>" means any dispute arising out of or in connecton with this Agreement (including a dispute relatng to the existence, validity or terminaton of this Agreement) or any non-contractual obligaton arising out of or in connecton with this Agreement.</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THIS AGREEMENT </w:t>
      </w:r>
      <w:r>
        <w:rPr>
          <w:rFonts w:ascii="Calibri" w:cs="Calibri" w:eastAsia="Calibri" w:hAnsi="Calibri"/>
          <w:sz w:val="18"/>
          <w:szCs w:val="18"/>
          <w:color w:val="auto"/>
        </w:rPr>
        <w:t>has been entered into on the date stated at the beginning of this Agreement.</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48" w:name="page249"/>
    <w:bookmarkEnd w:id="248"/>
    <w:p>
      <w:pPr>
        <w:jc w:val="center"/>
        <w:ind w:right="40"/>
        <w:spacing w:after="0"/>
        <w:rPr>
          <w:sz w:val="20"/>
          <w:szCs w:val="20"/>
          <w:color w:val="auto"/>
        </w:rPr>
      </w:pPr>
      <w:r>
        <w:rPr>
          <w:rFonts w:ascii="Calibri" w:cs="Calibri" w:eastAsia="Calibri" w:hAnsi="Calibri"/>
          <w:sz w:val="18"/>
          <w:szCs w:val="18"/>
          <w:b w:val="1"/>
          <w:bCs w:val="1"/>
          <w:color w:val="auto"/>
        </w:rPr>
        <w:t>SCHEDULE 1</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A</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LENDERS AND ORIGINAL COMMITMENTS</w:t>
      </w:r>
    </w:p>
    <w:p>
      <w:pPr>
        <w:sectPr>
          <w:pgSz w:w="11900" w:h="16838" w:orient="portrait"/>
          <w:cols w:equalWidth="0" w:num="1">
            <w:col w:w="11240"/>
          </w:cols>
          <w:pgMar w:left="320" w:top="628" w:right="339" w:bottom="1440" w:gutter="0" w:footer="0" w:header="0"/>
        </w:sectPr>
      </w:pP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Lending Ofce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Commitment</w:t>
      </w:r>
    </w:p>
    <w:p>
      <w:pPr>
        <w:spacing w:after="0" w:line="218" w:lineRule="auto"/>
        <w:rPr>
          <w:sz w:val="20"/>
          <w:szCs w:val="20"/>
          <w:color w:val="auto"/>
        </w:rPr>
      </w:pPr>
      <w:r>
        <w:rPr>
          <w:rFonts w:ascii="Calibri" w:cs="Calibri" w:eastAsia="Calibri" w:hAnsi="Calibri"/>
          <w:sz w:val="18"/>
          <w:szCs w:val="18"/>
          <w:b w:val="1"/>
          <w:bCs w:val="1"/>
          <w:color w:val="auto"/>
        </w:rPr>
        <w:t>(US Dollars)</w:t>
      </w:r>
    </w:p>
    <w:p>
      <w:pPr>
        <w:spacing w:after="0" w:line="182" w:lineRule="exact"/>
        <w:rPr>
          <w:sz w:val="20"/>
          <w:szCs w:val="20"/>
          <w:color w:val="auto"/>
        </w:rPr>
      </w:pPr>
    </w:p>
    <w:p>
      <w:pPr>
        <w:sectPr>
          <w:pgSz w:w="11900" w:h="16838" w:orient="portrait"/>
          <w:cols w:equalWidth="0" w:num="3">
            <w:col w:w="3000" w:space="720"/>
            <w:col w:w="4120" w:space="720"/>
            <w:col w:w="2680"/>
          </w:cols>
          <w:pgMar w:left="320" w:top="628"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Hamburg Commercial 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Gerhart-Hauptmann-Platz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105,000,000</w:t>
      </w:r>
    </w:p>
    <w:p>
      <w:pPr>
        <w:spacing w:after="0" w:line="181" w:lineRule="exact"/>
        <w:rPr>
          <w:sz w:val="20"/>
          <w:szCs w:val="20"/>
          <w:color w:val="auto"/>
        </w:rPr>
      </w:pPr>
    </w:p>
    <w:p>
      <w:pPr>
        <w:sectPr>
          <w:pgSz w:w="11900" w:h="16838" w:orient="portrait"/>
          <w:cols w:equalWidth="0" w:num="3">
            <w:col w:w="3000" w:space="720"/>
            <w:col w:w="4120" w:space="720"/>
            <w:col w:w="2680"/>
          </w:cols>
          <w:pgMar w:left="320" w:top="628" w:right="339" w:bottom="1440" w:gutter="0" w:footer="0" w:header="0"/>
          <w:type w:val="continuous"/>
        </w:sectPr>
      </w:pPr>
    </w:p>
    <w:p>
      <w:pPr>
        <w:ind w:left="3720"/>
        <w:spacing w:after="0"/>
        <w:rPr>
          <w:sz w:val="20"/>
          <w:szCs w:val="20"/>
          <w:color w:val="auto"/>
        </w:rPr>
      </w:pPr>
      <w:r>
        <w:rPr>
          <w:rFonts w:ascii="Calibri" w:cs="Calibri" w:eastAsia="Calibri" w:hAnsi="Calibri"/>
          <w:sz w:val="18"/>
          <w:szCs w:val="18"/>
          <w:color w:val="auto"/>
        </w:rPr>
        <w:t>20095 Hamburg</w:t>
      </w:r>
    </w:p>
    <w:p>
      <w:pPr>
        <w:spacing w:after="0" w:line="181" w:lineRule="exact"/>
        <w:rPr>
          <w:sz w:val="20"/>
          <w:szCs w:val="20"/>
          <w:color w:val="auto"/>
        </w:rPr>
      </w:pPr>
    </w:p>
    <w:p>
      <w:pPr>
        <w:ind w:left="3720"/>
        <w:spacing w:after="0"/>
        <w:rPr>
          <w:sz w:val="20"/>
          <w:szCs w:val="20"/>
          <w:color w:val="auto"/>
        </w:rPr>
      </w:pPr>
      <w:r>
        <w:rPr>
          <w:rFonts w:ascii="Calibri" w:cs="Calibri" w:eastAsia="Calibri" w:hAnsi="Calibri"/>
          <w:sz w:val="18"/>
          <w:szCs w:val="18"/>
          <w:color w:val="auto"/>
        </w:rPr>
        <w:t>Germany</w:t>
      </w:r>
    </w:p>
    <w:p>
      <w:pPr>
        <w:spacing w:after="0" w:line="3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type w:val="continuous"/>
        </w:sectPr>
      </w:pPr>
    </w:p>
    <w:bookmarkStart w:id="249" w:name="page250"/>
    <w:bookmarkEnd w:id="249"/>
    <w:p>
      <w:pPr>
        <w:jc w:val="center"/>
        <w:spacing w:after="0"/>
        <w:rPr>
          <w:sz w:val="20"/>
          <w:szCs w:val="20"/>
          <w:color w:val="auto"/>
        </w:rPr>
      </w:pPr>
      <w:r>
        <w:rPr>
          <w:rFonts w:ascii="Calibri" w:cs="Calibri" w:eastAsia="Calibri" w:hAnsi="Calibri"/>
          <w:sz w:val="18"/>
          <w:szCs w:val="18"/>
          <w:b w:val="1"/>
          <w:bCs w:val="1"/>
          <w:color w:val="auto"/>
        </w:rPr>
        <w:t>PART B</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LENDERS AND CONTRIBUTIONS</w:t>
      </w:r>
    </w:p>
    <w:p>
      <w:pPr>
        <w:sectPr>
          <w:pgSz w:w="11900" w:h="16838" w:orient="portrait"/>
          <w:cols w:equalWidth="0" w:num="1">
            <w:col w:w="11240"/>
          </w:cols>
          <w:pgMar w:left="320" w:top="628" w:right="339" w:bottom="1440" w:gutter="0" w:footer="0" w:header="0"/>
        </w:sectPr>
      </w:pP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Lending Ofce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Contributon</w:t>
      </w:r>
    </w:p>
    <w:p>
      <w:pPr>
        <w:spacing w:after="0" w:line="218" w:lineRule="auto"/>
        <w:rPr>
          <w:sz w:val="20"/>
          <w:szCs w:val="20"/>
          <w:color w:val="auto"/>
        </w:rPr>
      </w:pPr>
      <w:r>
        <w:rPr>
          <w:rFonts w:ascii="Calibri" w:cs="Calibri" w:eastAsia="Calibri" w:hAnsi="Calibri"/>
          <w:sz w:val="18"/>
          <w:szCs w:val="18"/>
          <w:b w:val="1"/>
          <w:bCs w:val="1"/>
          <w:color w:val="auto"/>
        </w:rPr>
        <w:t>(%)</w:t>
      </w:r>
    </w:p>
    <w:p>
      <w:pPr>
        <w:spacing w:after="0" w:line="182" w:lineRule="exact"/>
        <w:rPr>
          <w:sz w:val="20"/>
          <w:szCs w:val="20"/>
          <w:color w:val="auto"/>
        </w:rPr>
      </w:pPr>
    </w:p>
    <w:p>
      <w:pPr>
        <w:sectPr>
          <w:pgSz w:w="11900" w:h="16838" w:orient="portrait"/>
          <w:cols w:equalWidth="0" w:num="3">
            <w:col w:w="3000" w:space="720"/>
            <w:col w:w="4120" w:space="720"/>
            <w:col w:w="2680"/>
          </w:cols>
          <w:pgMar w:left="320" w:top="628"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Hamburg Commercial 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Gerhart-Hauptmann-Platz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100%</w:t>
      </w:r>
    </w:p>
    <w:p>
      <w:pPr>
        <w:spacing w:after="0" w:line="181" w:lineRule="exact"/>
        <w:rPr>
          <w:sz w:val="20"/>
          <w:szCs w:val="20"/>
          <w:color w:val="auto"/>
        </w:rPr>
      </w:pPr>
    </w:p>
    <w:p>
      <w:pPr>
        <w:sectPr>
          <w:pgSz w:w="11900" w:h="16838" w:orient="portrait"/>
          <w:cols w:equalWidth="0" w:num="3">
            <w:col w:w="3000" w:space="720"/>
            <w:col w:w="4120" w:space="720"/>
            <w:col w:w="2680"/>
          </w:cols>
          <w:pgMar w:left="320" w:top="628" w:right="339" w:bottom="1440" w:gutter="0" w:footer="0" w:header="0"/>
          <w:type w:val="continuous"/>
        </w:sectPr>
      </w:pPr>
    </w:p>
    <w:p>
      <w:pPr>
        <w:ind w:left="3720"/>
        <w:spacing w:after="0"/>
        <w:rPr>
          <w:sz w:val="20"/>
          <w:szCs w:val="20"/>
          <w:color w:val="auto"/>
        </w:rPr>
      </w:pPr>
      <w:r>
        <w:rPr>
          <w:rFonts w:ascii="Calibri" w:cs="Calibri" w:eastAsia="Calibri" w:hAnsi="Calibri"/>
          <w:sz w:val="18"/>
          <w:szCs w:val="18"/>
          <w:color w:val="auto"/>
        </w:rPr>
        <w:t>20095 Hamburg</w:t>
      </w:r>
    </w:p>
    <w:p>
      <w:pPr>
        <w:spacing w:after="0" w:line="181" w:lineRule="exact"/>
        <w:rPr>
          <w:sz w:val="20"/>
          <w:szCs w:val="20"/>
          <w:color w:val="auto"/>
        </w:rPr>
      </w:pPr>
    </w:p>
    <w:p>
      <w:pPr>
        <w:ind w:left="3720"/>
        <w:spacing w:after="0"/>
        <w:rPr>
          <w:sz w:val="20"/>
          <w:szCs w:val="20"/>
          <w:color w:val="auto"/>
        </w:rPr>
      </w:pPr>
      <w:r>
        <w:rPr>
          <w:rFonts w:ascii="Calibri" w:cs="Calibri" w:eastAsia="Calibri" w:hAnsi="Calibri"/>
          <w:sz w:val="18"/>
          <w:szCs w:val="18"/>
          <w:color w:val="auto"/>
        </w:rPr>
        <w:t>Germany</w:t>
      </w:r>
    </w:p>
    <w:p>
      <w:pPr>
        <w:sectPr>
          <w:pgSz w:w="11900" w:h="16838" w:orient="portrait"/>
          <w:cols w:equalWidth="0" w:num="1">
            <w:col w:w="11240"/>
          </w:cols>
          <w:pgMar w:left="320" w:top="6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type w:val="continuous"/>
        </w:sectPr>
      </w:pPr>
    </w:p>
    <w:bookmarkStart w:id="250" w:name="page251"/>
    <w:bookmarkEnd w:id="250"/>
    <w:p>
      <w:pPr>
        <w:jc w:val="center"/>
        <w:ind w:right="40"/>
        <w:spacing w:after="0"/>
        <w:rPr>
          <w:sz w:val="20"/>
          <w:szCs w:val="20"/>
          <w:color w:val="auto"/>
        </w:rPr>
      </w:pPr>
      <w:r>
        <w:rPr>
          <w:rFonts w:ascii="Calibri" w:cs="Calibri" w:eastAsia="Calibri" w:hAnsi="Calibri"/>
          <w:sz w:val="18"/>
          <w:szCs w:val="18"/>
          <w:b w:val="1"/>
          <w:bCs w:val="1"/>
          <w:color w:val="auto"/>
        </w:rPr>
        <w:t>PART C</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SCHEDULE 2</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DRAWDOWN NOTICE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To:          Hamburg Commercial Bank AG</w:t>
      </w:r>
    </w:p>
    <w:p>
      <w:pPr>
        <w:ind w:left="600"/>
        <w:spacing w:after="0" w:line="218" w:lineRule="auto"/>
        <w:rPr>
          <w:sz w:val="20"/>
          <w:szCs w:val="20"/>
          <w:color w:val="auto"/>
        </w:rPr>
      </w:pPr>
      <w:r>
        <w:rPr>
          <w:rFonts w:ascii="Calibri" w:cs="Calibri" w:eastAsia="Calibri" w:hAnsi="Calibri"/>
          <w:sz w:val="18"/>
          <w:szCs w:val="18"/>
          <w:color w:val="auto"/>
        </w:rPr>
        <w:t>Gerhart-Hauptmann-Platz 50</w:t>
      </w:r>
    </w:p>
    <w:p>
      <w:pPr>
        <w:ind w:left="600"/>
        <w:spacing w:after="0" w:line="219" w:lineRule="auto"/>
        <w:rPr>
          <w:sz w:val="20"/>
          <w:szCs w:val="20"/>
          <w:color w:val="auto"/>
        </w:rPr>
      </w:pPr>
      <w:r>
        <w:rPr>
          <w:rFonts w:ascii="Calibri" w:cs="Calibri" w:eastAsia="Calibri" w:hAnsi="Calibri"/>
          <w:sz w:val="18"/>
          <w:szCs w:val="18"/>
          <w:color w:val="auto"/>
        </w:rPr>
        <w:t>20095 Hamburg</w:t>
      </w:r>
    </w:p>
    <w:p>
      <w:pPr>
        <w:ind w:left="600"/>
        <w:spacing w:after="0" w:line="219" w:lineRule="auto"/>
        <w:rPr>
          <w:sz w:val="20"/>
          <w:szCs w:val="20"/>
          <w:color w:val="auto"/>
        </w:rPr>
      </w:pPr>
      <w:r>
        <w:rPr>
          <w:rFonts w:ascii="Calibri" w:cs="Calibri" w:eastAsia="Calibri" w:hAnsi="Calibri"/>
          <w:sz w:val="18"/>
          <w:szCs w:val="18"/>
          <w:color w:val="auto"/>
        </w:rPr>
        <w:t>Germany</w:t>
      </w:r>
    </w:p>
    <w:p>
      <w:pPr>
        <w:spacing w:after="0" w:line="182"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Atenton: Loans Administraton</w:t>
      </w:r>
    </w:p>
    <w:p>
      <w:pPr>
        <w:spacing w:after="0" w:line="208" w:lineRule="exact"/>
        <w:rPr>
          <w:sz w:val="20"/>
          <w:szCs w:val="20"/>
          <w:color w:val="auto"/>
        </w:rPr>
      </w:pPr>
    </w:p>
    <w:p>
      <w:pPr>
        <w:ind w:left="11000"/>
        <w:spacing w:after="0"/>
        <w:rPr>
          <w:sz w:val="20"/>
          <w:szCs w:val="20"/>
          <w:color w:val="auto"/>
        </w:rPr>
      </w:pPr>
      <w:r>
        <w:rPr>
          <w:rFonts w:ascii="Calibri" w:cs="Calibri" w:eastAsia="Calibri" w:hAnsi="Calibri"/>
          <w:sz w:val="17"/>
          <w:szCs w:val="17"/>
          <w:color w:val="auto"/>
        </w:rPr>
        <w:t>[</w:t>
      </w:r>
      <w:r>
        <w:rPr>
          <w:rFonts w:ascii="Wingdings" w:cs="Wingdings" w:eastAsia="Wingdings" w:hAnsi="Wingdings"/>
          <w:sz w:val="17"/>
          <w:szCs w:val="17"/>
          <w:b w:val="1"/>
          <w:bCs w:val="1"/>
          <w:color w:val="auto"/>
        </w:rPr>
        <w:t>l</w:t>
      </w:r>
      <w:r>
        <w:rPr>
          <w:rFonts w:ascii="Calibri" w:cs="Calibri" w:eastAsia="Calibri" w:hAnsi="Calibri"/>
          <w:sz w:val="17"/>
          <w:szCs w:val="17"/>
          <w:color w:val="auto"/>
        </w:rPr>
        <w:t>]</w:t>
      </w:r>
    </w:p>
    <w:p>
      <w:pPr>
        <w:spacing w:after="0" w:line="218" w:lineRule="exact"/>
        <w:rPr>
          <w:sz w:val="20"/>
          <w:szCs w:val="20"/>
          <w:color w:val="auto"/>
        </w:rPr>
      </w:pPr>
    </w:p>
    <w:p>
      <w:pPr>
        <w:jc w:val="both"/>
        <w:ind w:left="580" w:hanging="580"/>
        <w:spacing w:after="0" w:line="225" w:lineRule="auto"/>
        <w:tabs>
          <w:tab w:leader="none" w:pos="580" w:val="left"/>
        </w:tabs>
        <w:numPr>
          <w:ilvl w:val="0"/>
          <w:numId w:val="442"/>
        </w:numPr>
        <w:rPr>
          <w:rFonts w:ascii="Calibri" w:cs="Calibri" w:eastAsia="Calibri" w:hAnsi="Calibri"/>
          <w:sz w:val="18"/>
          <w:szCs w:val="18"/>
          <w:color w:val="auto"/>
        </w:rPr>
      </w:pPr>
      <w:r>
        <w:rPr>
          <w:rFonts w:ascii="Calibri" w:cs="Calibri" w:eastAsia="Calibri" w:hAnsi="Calibri"/>
          <w:sz w:val="18"/>
          <w:szCs w:val="18"/>
          <w:color w:val="auto"/>
        </w:rPr>
        <w:t>We refer to the loan agreement (the "Loan Agreement") dated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and made between (i) ourselves, as Borrower, (ii) the Lenders referred to therein, (iii) yourselves as Mandated Lead Arranger and (iv) yourselves as Agent and Security Trustee in connecton with a secured term loan facility of up to $105,000,000. Terms defned in the Loan Agreement have their defned meanings when used in this Drawdown Notce.</w:t>
      </w:r>
    </w:p>
    <w:p>
      <w:pPr>
        <w:spacing w:after="0" w:line="182" w:lineRule="exact"/>
        <w:rPr>
          <w:sz w:val="20"/>
          <w:szCs w:val="20"/>
          <w:color w:val="auto"/>
        </w:rPr>
      </w:pPr>
    </w:p>
    <w:p>
      <w:pPr>
        <w:ind w:left="580" w:hanging="580"/>
        <w:spacing w:after="0"/>
        <w:tabs>
          <w:tab w:leader="none" w:pos="580" w:val="left"/>
        </w:tabs>
        <w:numPr>
          <w:ilvl w:val="0"/>
          <w:numId w:val="443"/>
        </w:numPr>
        <w:rPr>
          <w:rFonts w:ascii="Calibri" w:cs="Calibri" w:eastAsia="Calibri" w:hAnsi="Calibri"/>
          <w:sz w:val="18"/>
          <w:szCs w:val="18"/>
          <w:color w:val="auto"/>
        </w:rPr>
      </w:pPr>
      <w:r>
        <w:rPr>
          <w:rFonts w:ascii="Calibri" w:cs="Calibri" w:eastAsia="Calibri" w:hAnsi="Calibri"/>
          <w:sz w:val="18"/>
          <w:szCs w:val="18"/>
          <w:color w:val="auto"/>
        </w:rPr>
        <w:t>We request to borrow the Loan as follows:</w:t>
      </w:r>
    </w:p>
    <w:p>
      <w:pPr>
        <w:spacing w:after="0" w:line="206" w:lineRule="exact"/>
        <w:rPr>
          <w:sz w:val="20"/>
          <w:szCs w:val="20"/>
          <w:color w:val="auto"/>
        </w:rPr>
      </w:pPr>
    </w:p>
    <w:p>
      <w:pPr>
        <w:ind w:left="580" w:hanging="580"/>
        <w:spacing w:after="0"/>
        <w:tabs>
          <w:tab w:leader="none" w:pos="580" w:val="left"/>
        </w:tabs>
        <w:numPr>
          <w:ilvl w:val="0"/>
          <w:numId w:val="444"/>
        </w:numPr>
        <w:rPr>
          <w:rFonts w:ascii="Calibri" w:cs="Calibri" w:eastAsia="Calibri" w:hAnsi="Calibri"/>
          <w:sz w:val="18"/>
          <w:szCs w:val="18"/>
          <w:color w:val="auto"/>
        </w:rPr>
      </w:pPr>
      <w:r>
        <w:rPr>
          <w:rFonts w:ascii="Calibri" w:cs="Calibri" w:eastAsia="Calibri" w:hAnsi="Calibri"/>
          <w:sz w:val="18"/>
          <w:szCs w:val="18"/>
          <w:color w:val="auto"/>
        </w:rPr>
        <w:t>Amount of the Loan: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206" w:lineRule="exact"/>
        <w:rPr>
          <w:rFonts w:ascii="Calibri" w:cs="Calibri" w:eastAsia="Calibri" w:hAnsi="Calibri"/>
          <w:sz w:val="18"/>
          <w:szCs w:val="18"/>
          <w:color w:val="auto"/>
        </w:rPr>
      </w:pPr>
    </w:p>
    <w:p>
      <w:pPr>
        <w:ind w:left="580" w:hanging="580"/>
        <w:spacing w:after="0"/>
        <w:tabs>
          <w:tab w:leader="none" w:pos="580" w:val="left"/>
        </w:tabs>
        <w:numPr>
          <w:ilvl w:val="0"/>
          <w:numId w:val="444"/>
        </w:numPr>
        <w:rPr>
          <w:rFonts w:ascii="Calibri" w:cs="Calibri" w:eastAsia="Calibri" w:hAnsi="Calibri"/>
          <w:sz w:val="18"/>
          <w:szCs w:val="18"/>
          <w:color w:val="auto"/>
        </w:rPr>
      </w:pPr>
      <w:r>
        <w:rPr>
          <w:rFonts w:ascii="Calibri" w:cs="Calibri" w:eastAsia="Calibri" w:hAnsi="Calibri"/>
          <w:sz w:val="18"/>
          <w:szCs w:val="18"/>
          <w:color w:val="auto"/>
        </w:rPr>
        <w:t>Drawdown Date: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206" w:lineRule="exact"/>
        <w:rPr>
          <w:rFonts w:ascii="Calibri" w:cs="Calibri" w:eastAsia="Calibri" w:hAnsi="Calibri"/>
          <w:sz w:val="18"/>
          <w:szCs w:val="18"/>
          <w:color w:val="auto"/>
        </w:rPr>
      </w:pPr>
    </w:p>
    <w:p>
      <w:pPr>
        <w:ind w:left="580" w:hanging="580"/>
        <w:spacing w:after="0"/>
        <w:tabs>
          <w:tab w:leader="none" w:pos="580" w:val="left"/>
        </w:tabs>
        <w:numPr>
          <w:ilvl w:val="0"/>
          <w:numId w:val="444"/>
        </w:numPr>
        <w:rPr>
          <w:rFonts w:ascii="Calibri" w:cs="Calibri" w:eastAsia="Calibri" w:hAnsi="Calibri"/>
          <w:sz w:val="18"/>
          <w:szCs w:val="18"/>
          <w:color w:val="auto"/>
        </w:rPr>
      </w:pPr>
      <w:r>
        <w:rPr>
          <w:rFonts w:ascii="Calibri" w:cs="Calibri" w:eastAsia="Calibri" w:hAnsi="Calibri"/>
          <w:sz w:val="18"/>
          <w:szCs w:val="18"/>
          <w:color w:val="auto"/>
        </w:rPr>
        <w:t>Duraton of the frst Interest Period shall be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months; and</w:t>
      </w:r>
    </w:p>
    <w:p>
      <w:pPr>
        <w:spacing w:after="0" w:line="206" w:lineRule="exact"/>
        <w:rPr>
          <w:rFonts w:ascii="Calibri" w:cs="Calibri" w:eastAsia="Calibri" w:hAnsi="Calibri"/>
          <w:sz w:val="18"/>
          <w:szCs w:val="18"/>
          <w:color w:val="auto"/>
        </w:rPr>
      </w:pPr>
    </w:p>
    <w:p>
      <w:pPr>
        <w:ind w:left="580" w:hanging="580"/>
        <w:spacing w:after="0"/>
        <w:tabs>
          <w:tab w:leader="none" w:pos="580" w:val="left"/>
        </w:tabs>
        <w:numPr>
          <w:ilvl w:val="0"/>
          <w:numId w:val="444"/>
        </w:numPr>
        <w:rPr>
          <w:rFonts w:ascii="Calibri" w:cs="Calibri" w:eastAsia="Calibri" w:hAnsi="Calibri"/>
          <w:sz w:val="18"/>
          <w:szCs w:val="18"/>
          <w:color w:val="auto"/>
        </w:rPr>
      </w:pPr>
      <w:r>
        <w:rPr>
          <w:rFonts w:ascii="Calibri" w:cs="Calibri" w:eastAsia="Calibri" w:hAnsi="Calibri"/>
          <w:sz w:val="18"/>
          <w:szCs w:val="18"/>
          <w:color w:val="auto"/>
        </w:rPr>
        <w:t>Payment instructons: account in our name and numbered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with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of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81" w:lineRule="exact"/>
        <w:rPr>
          <w:sz w:val="20"/>
          <w:szCs w:val="20"/>
          <w:color w:val="auto"/>
        </w:rPr>
      </w:pPr>
    </w:p>
    <w:p>
      <w:pPr>
        <w:ind w:left="580" w:hanging="580"/>
        <w:spacing w:after="0"/>
        <w:tabs>
          <w:tab w:leader="none" w:pos="580" w:val="left"/>
        </w:tabs>
        <w:numPr>
          <w:ilvl w:val="0"/>
          <w:numId w:val="445"/>
        </w:numPr>
        <w:rPr>
          <w:rFonts w:ascii="Calibri" w:cs="Calibri" w:eastAsia="Calibri" w:hAnsi="Calibri"/>
          <w:sz w:val="18"/>
          <w:szCs w:val="18"/>
          <w:color w:val="auto"/>
        </w:rPr>
      </w:pPr>
      <w:r>
        <w:rPr>
          <w:rFonts w:ascii="Calibri" w:cs="Calibri" w:eastAsia="Calibri" w:hAnsi="Calibri"/>
          <w:sz w:val="18"/>
          <w:szCs w:val="18"/>
          <w:color w:val="auto"/>
        </w:rPr>
        <w:t>We represent and warrant that:</w:t>
      </w:r>
    </w:p>
    <w:p>
      <w:pPr>
        <w:spacing w:after="0" w:line="183" w:lineRule="exact"/>
        <w:rPr>
          <w:sz w:val="20"/>
          <w:szCs w:val="20"/>
          <w:color w:val="auto"/>
        </w:rPr>
      </w:pPr>
    </w:p>
    <w:p>
      <w:pPr>
        <w:ind w:left="580" w:hanging="580"/>
        <w:spacing w:after="0" w:line="228" w:lineRule="auto"/>
        <w:tabs>
          <w:tab w:leader="none" w:pos="580" w:val="left"/>
        </w:tabs>
        <w:numPr>
          <w:ilvl w:val="0"/>
          <w:numId w:val="446"/>
        </w:numPr>
        <w:rPr>
          <w:rFonts w:ascii="Calibri" w:cs="Calibri" w:eastAsia="Calibri" w:hAnsi="Calibri"/>
          <w:sz w:val="18"/>
          <w:szCs w:val="18"/>
          <w:color w:val="auto"/>
        </w:rPr>
      </w:pPr>
      <w:r>
        <w:rPr>
          <w:rFonts w:ascii="Calibri" w:cs="Calibri" w:eastAsia="Calibri" w:hAnsi="Calibri"/>
          <w:sz w:val="18"/>
          <w:szCs w:val="18"/>
          <w:color w:val="auto"/>
        </w:rPr>
        <w:t>the representatons and warrantes in Clause 10 of the Loan Agreement would remain true and not misleading if repeated on the date of this Drawdown Notce with reference to the circumstances now existng;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6"/>
        </w:numPr>
        <w:rPr>
          <w:rFonts w:ascii="Calibri" w:cs="Calibri" w:eastAsia="Calibri" w:hAnsi="Calibri"/>
          <w:sz w:val="18"/>
          <w:szCs w:val="18"/>
          <w:color w:val="auto"/>
        </w:rPr>
      </w:pPr>
      <w:r>
        <w:rPr>
          <w:rFonts w:ascii="Calibri" w:cs="Calibri" w:eastAsia="Calibri" w:hAnsi="Calibri"/>
          <w:sz w:val="18"/>
          <w:szCs w:val="18"/>
          <w:color w:val="auto"/>
        </w:rPr>
        <w:t>no Event of Default or Potental Event of Default has occurred or will result from the borrowing of the Loan.</w:t>
      </w:r>
    </w:p>
    <w:p>
      <w:pPr>
        <w:spacing w:after="0" w:line="181" w:lineRule="exact"/>
        <w:rPr>
          <w:sz w:val="20"/>
          <w:szCs w:val="20"/>
          <w:color w:val="auto"/>
        </w:rPr>
      </w:pPr>
    </w:p>
    <w:p>
      <w:pPr>
        <w:ind w:left="580" w:hanging="580"/>
        <w:spacing w:after="0"/>
        <w:tabs>
          <w:tab w:leader="none" w:pos="580" w:val="left"/>
        </w:tabs>
        <w:numPr>
          <w:ilvl w:val="0"/>
          <w:numId w:val="447"/>
        </w:numPr>
        <w:rPr>
          <w:rFonts w:ascii="Calibri" w:cs="Calibri" w:eastAsia="Calibri" w:hAnsi="Calibri"/>
          <w:sz w:val="18"/>
          <w:szCs w:val="18"/>
          <w:color w:val="auto"/>
        </w:rPr>
      </w:pPr>
      <w:r>
        <w:rPr>
          <w:rFonts w:ascii="Calibri" w:cs="Calibri" w:eastAsia="Calibri" w:hAnsi="Calibri"/>
          <w:sz w:val="18"/>
          <w:szCs w:val="18"/>
          <w:color w:val="auto"/>
        </w:rPr>
        <w:t>This Drawdown Notce cannot be revoked without the prior consent of the Majority Lenders.</w:t>
      </w:r>
    </w:p>
    <w:p>
      <w:pPr>
        <w:spacing w:after="0" w:line="18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5[We authorise you to deduct the commitment fee(s) payable pursuant to in Clause 20.1(b)].</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[Authorised Person]</w:t>
      </w:r>
    </w:p>
    <w:p>
      <w:pPr>
        <w:spacing w:after="0" w:line="218" w:lineRule="auto"/>
        <w:rPr>
          <w:sz w:val="20"/>
          <w:szCs w:val="20"/>
          <w:color w:val="auto"/>
        </w:rPr>
      </w:pPr>
      <w:r>
        <w:rPr>
          <w:rFonts w:ascii="Calibri" w:cs="Calibri" w:eastAsia="Calibri" w:hAnsi="Calibri"/>
          <w:sz w:val="18"/>
          <w:szCs w:val="18"/>
          <w:color w:val="auto"/>
        </w:rPr>
        <w:t>for and on behalf of</w:t>
      </w:r>
    </w:p>
    <w:p>
      <w:pPr>
        <w:spacing w:after="0" w:line="219" w:lineRule="auto"/>
        <w:rPr>
          <w:sz w:val="20"/>
          <w:szCs w:val="20"/>
          <w:color w:val="auto"/>
        </w:rPr>
      </w:pPr>
      <w:r>
        <w:rPr>
          <w:rFonts w:ascii="Calibri" w:cs="Calibri" w:eastAsia="Calibri" w:hAnsi="Calibri"/>
          <w:sz w:val="18"/>
          <w:szCs w:val="18"/>
          <w:b w:val="1"/>
          <w:bCs w:val="1"/>
          <w:color w:val="auto"/>
        </w:rPr>
        <w:t>CAPITAL PRODUCT PARTNERS L.P.</w:t>
      </w:r>
    </w:p>
    <w:p>
      <w:pPr>
        <w:jc w:val="both"/>
        <w:ind w:left="5500"/>
        <w:spacing w:after="0" w:line="219" w:lineRule="auto"/>
        <w:tabs>
          <w:tab w:leader="none" w:pos="9920" w:val="left"/>
        </w:tabs>
        <w:rPr>
          <w:sz w:val="20"/>
          <w:szCs w:val="20"/>
          <w:color w:val="auto"/>
        </w:rPr>
      </w:pPr>
      <w:r>
        <w:rPr>
          <w:rFonts w:ascii="Times New Roman" w:cs="Times New Roman" w:eastAsia="Times New Roman" w:hAnsi="Times New Roman"/>
          <w:sz w:val="17"/>
          <w:szCs w:val="17"/>
          <w:color w:val="auto"/>
        </w:rPr>
        <w:t>108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51" w:name="page252"/>
    <w:bookmarkEnd w:id="251"/>
    <w:p>
      <w:pPr>
        <w:jc w:val="center"/>
        <w:spacing w:after="0"/>
        <w:rPr>
          <w:sz w:val="20"/>
          <w:szCs w:val="20"/>
          <w:color w:val="auto"/>
        </w:rPr>
      </w:pPr>
      <w:r>
        <w:rPr>
          <w:rFonts w:ascii="Calibri" w:cs="Calibri" w:eastAsia="Calibri" w:hAnsi="Calibri"/>
          <w:sz w:val="18"/>
          <w:szCs w:val="18"/>
          <w:b w:val="1"/>
          <w:bCs w:val="1"/>
          <w:color w:val="auto"/>
        </w:rPr>
        <w:t>SCHEDULE 3</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CONDITION PRECEDENT DOCUMENTS</w:t>
      </w:r>
    </w:p>
    <w:p>
      <w:pPr>
        <w:spacing w:after="0" w:line="181"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PART 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are the documents referred to in Clause 9.1(a) required before service of the Drawdown Notce.</w:t>
      </w:r>
    </w:p>
    <w:p>
      <w:pPr>
        <w:spacing w:after="0" w:line="181" w:lineRule="exact"/>
        <w:rPr>
          <w:sz w:val="20"/>
          <w:szCs w:val="20"/>
          <w:color w:val="auto"/>
        </w:rPr>
      </w:pPr>
    </w:p>
    <w:p>
      <w:pPr>
        <w:ind w:left="580" w:hanging="580"/>
        <w:spacing w:after="0"/>
        <w:tabs>
          <w:tab w:leader="none" w:pos="580" w:val="left"/>
        </w:tabs>
        <w:numPr>
          <w:ilvl w:val="0"/>
          <w:numId w:val="448"/>
        </w:numPr>
        <w:rPr>
          <w:rFonts w:ascii="Calibri" w:cs="Calibri" w:eastAsia="Calibri" w:hAnsi="Calibri"/>
          <w:sz w:val="18"/>
          <w:szCs w:val="18"/>
          <w:color w:val="auto"/>
        </w:rPr>
      </w:pPr>
      <w:r>
        <w:rPr>
          <w:rFonts w:ascii="Calibri" w:cs="Calibri" w:eastAsia="Calibri" w:hAnsi="Calibri"/>
          <w:sz w:val="18"/>
          <w:szCs w:val="18"/>
          <w:color w:val="auto"/>
        </w:rPr>
        <w:t>A duly executed original of:</w:t>
      </w:r>
    </w:p>
    <w:p>
      <w:pPr>
        <w:spacing w:after="0" w:line="181" w:lineRule="exact"/>
        <w:rPr>
          <w:sz w:val="20"/>
          <w:szCs w:val="20"/>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this Agreement;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the Side Leter;</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the Corporate Guarantee;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the Agency and Trust Deed;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any Subordinaton Agreement;</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any Subordinated Debt Security;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49"/>
        </w:numPr>
        <w:rPr>
          <w:rFonts w:ascii="Calibri" w:cs="Calibri" w:eastAsia="Calibri" w:hAnsi="Calibri"/>
          <w:sz w:val="18"/>
          <w:szCs w:val="18"/>
          <w:color w:val="auto"/>
        </w:rPr>
      </w:pPr>
      <w:r>
        <w:rPr>
          <w:rFonts w:ascii="Calibri" w:cs="Calibri" w:eastAsia="Calibri" w:hAnsi="Calibri"/>
          <w:sz w:val="18"/>
          <w:szCs w:val="18"/>
          <w:color w:val="auto"/>
        </w:rPr>
        <w:t>the Account Pledges,</w:t>
      </w:r>
    </w:p>
    <w:p>
      <w:pPr>
        <w:spacing w:after="0" w:line="181" w:lineRule="exact"/>
        <w:rPr>
          <w:rFonts w:ascii="Calibri" w:cs="Calibri" w:eastAsia="Calibri" w:hAnsi="Calibri"/>
          <w:sz w:val="18"/>
          <w:szCs w:val="18"/>
          <w:color w:val="auto"/>
        </w:rPr>
      </w:pPr>
    </w:p>
    <w:p>
      <w:pPr>
        <w:ind w:left="600"/>
        <w:spacing w:after="0"/>
        <w:rPr>
          <w:rFonts w:ascii="Calibri" w:cs="Calibri" w:eastAsia="Calibri" w:hAnsi="Calibri"/>
          <w:sz w:val="18"/>
          <w:szCs w:val="18"/>
          <w:color w:val="auto"/>
        </w:rPr>
      </w:pPr>
      <w:r>
        <w:rPr>
          <w:rFonts w:ascii="Calibri" w:cs="Calibri" w:eastAsia="Calibri" w:hAnsi="Calibri"/>
          <w:sz w:val="18"/>
          <w:szCs w:val="18"/>
          <w:color w:val="auto"/>
        </w:rPr>
        <w:t>(and of each document required to be delivered under each of them).</w:t>
      </w:r>
    </w:p>
    <w:p>
      <w:pPr>
        <w:spacing w:after="0" w:line="183" w:lineRule="exact"/>
        <w:rPr>
          <w:sz w:val="20"/>
          <w:szCs w:val="20"/>
          <w:color w:val="auto"/>
        </w:rPr>
      </w:pPr>
    </w:p>
    <w:p>
      <w:pPr>
        <w:jc w:val="both"/>
        <w:ind w:left="580" w:hanging="580"/>
        <w:spacing w:after="0" w:line="223" w:lineRule="auto"/>
        <w:tabs>
          <w:tab w:leader="none" w:pos="580" w:val="left"/>
        </w:tabs>
        <w:numPr>
          <w:ilvl w:val="0"/>
          <w:numId w:val="450"/>
        </w:numPr>
        <w:rPr>
          <w:rFonts w:ascii="Calibri" w:cs="Calibri" w:eastAsia="Calibri" w:hAnsi="Calibri"/>
          <w:sz w:val="18"/>
          <w:szCs w:val="18"/>
          <w:color w:val="auto"/>
        </w:rPr>
      </w:pPr>
      <w:r>
        <w:rPr>
          <w:rFonts w:ascii="Calibri" w:cs="Calibri" w:eastAsia="Calibri" w:hAnsi="Calibri"/>
          <w:sz w:val="18"/>
          <w:szCs w:val="18"/>
          <w:color w:val="auto"/>
        </w:rPr>
        <w:t>Copies of the certfcate of incorporaton and consttutonal documents of the Borrower, the Owner, any other Security Party, any Approved Manager and any company registraton documents in respect of the Borrower and any Security Party (including, without limitaton, any corporate register excerpts) required by the Agent and a list of all members of the Group (as included in the Borrower's annual audited fnancial statements).</w:t>
      </w:r>
    </w:p>
    <w:p>
      <w:pPr>
        <w:spacing w:after="0" w:line="185" w:lineRule="exact"/>
        <w:rPr>
          <w:sz w:val="20"/>
          <w:szCs w:val="20"/>
          <w:color w:val="auto"/>
        </w:rPr>
      </w:pPr>
    </w:p>
    <w:p>
      <w:pPr>
        <w:jc w:val="both"/>
        <w:ind w:left="580" w:hanging="580"/>
        <w:spacing w:after="0" w:line="225" w:lineRule="auto"/>
        <w:tabs>
          <w:tab w:leader="none" w:pos="580" w:val="left"/>
        </w:tabs>
        <w:numPr>
          <w:ilvl w:val="0"/>
          <w:numId w:val="451"/>
        </w:numPr>
        <w:rPr>
          <w:rFonts w:ascii="Calibri" w:cs="Calibri" w:eastAsia="Calibri" w:hAnsi="Calibri"/>
          <w:sz w:val="18"/>
          <w:szCs w:val="18"/>
          <w:color w:val="auto"/>
        </w:rPr>
      </w:pPr>
      <w:r>
        <w:rPr>
          <w:rFonts w:ascii="Calibri" w:cs="Calibri" w:eastAsia="Calibri" w:hAnsi="Calibri"/>
          <w:sz w:val="18"/>
          <w:szCs w:val="18"/>
          <w:color w:val="auto"/>
        </w:rPr>
        <w:t>Copies of resolutons of the directors of the Borrower and the directors of and shareholders of the Owner authorising the executon of each of the Finance Documents to which each is a party and, in the case of the Borrower, authorising named representatves to give the Drawdown Notce and other notces under this Agreement.</w:t>
      </w:r>
    </w:p>
    <w:p>
      <w:pPr>
        <w:spacing w:after="0" w:line="184" w:lineRule="exact"/>
        <w:rPr>
          <w:sz w:val="20"/>
          <w:szCs w:val="20"/>
          <w:color w:val="auto"/>
        </w:rPr>
      </w:pPr>
    </w:p>
    <w:p>
      <w:pPr>
        <w:ind w:left="580" w:hanging="580"/>
        <w:spacing w:after="0" w:line="228" w:lineRule="auto"/>
        <w:tabs>
          <w:tab w:leader="none" w:pos="580" w:val="left"/>
        </w:tabs>
        <w:numPr>
          <w:ilvl w:val="0"/>
          <w:numId w:val="452"/>
        </w:numPr>
        <w:rPr>
          <w:rFonts w:ascii="Calibri" w:cs="Calibri" w:eastAsia="Calibri" w:hAnsi="Calibri"/>
          <w:sz w:val="18"/>
          <w:szCs w:val="18"/>
          <w:color w:val="auto"/>
        </w:rPr>
      </w:pPr>
      <w:r>
        <w:rPr>
          <w:rFonts w:ascii="Calibri" w:cs="Calibri" w:eastAsia="Calibri" w:hAnsi="Calibri"/>
          <w:sz w:val="18"/>
          <w:szCs w:val="18"/>
          <w:color w:val="auto"/>
        </w:rPr>
        <w:t>The original of any power of atorney under which any Finance Document is executed on behalf of the Borrower, the Owner and any other Security Party and if required any Approved Manager.</w:t>
      </w:r>
    </w:p>
    <w:p>
      <w:pPr>
        <w:spacing w:after="0" w:line="184" w:lineRule="exact"/>
        <w:rPr>
          <w:sz w:val="20"/>
          <w:szCs w:val="20"/>
          <w:color w:val="auto"/>
        </w:rPr>
      </w:pPr>
    </w:p>
    <w:p>
      <w:pPr>
        <w:ind w:left="580" w:hanging="580"/>
        <w:spacing w:after="0" w:line="228" w:lineRule="auto"/>
        <w:tabs>
          <w:tab w:leader="none" w:pos="580" w:val="left"/>
        </w:tabs>
        <w:numPr>
          <w:ilvl w:val="0"/>
          <w:numId w:val="453"/>
        </w:numPr>
        <w:rPr>
          <w:rFonts w:ascii="Calibri" w:cs="Calibri" w:eastAsia="Calibri" w:hAnsi="Calibri"/>
          <w:sz w:val="18"/>
          <w:szCs w:val="18"/>
          <w:color w:val="auto"/>
        </w:rPr>
      </w:pPr>
      <w:r>
        <w:rPr>
          <w:rFonts w:ascii="Calibri" w:cs="Calibri" w:eastAsia="Calibri" w:hAnsi="Calibri"/>
          <w:sz w:val="18"/>
          <w:szCs w:val="18"/>
          <w:color w:val="auto"/>
        </w:rPr>
        <w:t>Copies of all consents which the Borrower or any Security Party requires to enter into, or make any payment under, any Finance Document or any Underlying Document.</w:t>
      </w:r>
    </w:p>
    <w:p>
      <w:pPr>
        <w:spacing w:after="0" w:line="182" w:lineRule="exact"/>
        <w:rPr>
          <w:sz w:val="20"/>
          <w:szCs w:val="20"/>
          <w:color w:val="auto"/>
        </w:rPr>
      </w:pPr>
    </w:p>
    <w:p>
      <w:pPr>
        <w:ind w:left="580" w:hanging="580"/>
        <w:spacing w:after="0"/>
        <w:tabs>
          <w:tab w:leader="none" w:pos="580" w:val="left"/>
        </w:tabs>
        <w:numPr>
          <w:ilvl w:val="0"/>
          <w:numId w:val="454"/>
        </w:numPr>
        <w:rPr>
          <w:rFonts w:ascii="Calibri" w:cs="Calibri" w:eastAsia="Calibri" w:hAnsi="Calibri"/>
          <w:sz w:val="18"/>
          <w:szCs w:val="18"/>
          <w:color w:val="auto"/>
        </w:rPr>
      </w:pPr>
      <w:r>
        <w:rPr>
          <w:rFonts w:ascii="Calibri" w:cs="Calibri" w:eastAsia="Calibri" w:hAnsi="Calibri"/>
          <w:sz w:val="18"/>
          <w:szCs w:val="18"/>
          <w:color w:val="auto"/>
        </w:rPr>
        <w:t>The originals of any mandates or other documents required in connecton with the opening or operaton of the Accounts.</w:t>
      </w:r>
    </w:p>
    <w:p>
      <w:pPr>
        <w:spacing w:after="0" w:line="18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7Documentary evidence that the agent for service of process named in Clause 32 has accepted its appointment.</w:t>
      </w:r>
    </w:p>
    <w:p>
      <w:pPr>
        <w:spacing w:after="0" w:line="183" w:lineRule="exact"/>
        <w:rPr>
          <w:sz w:val="20"/>
          <w:szCs w:val="20"/>
          <w:color w:val="auto"/>
        </w:rPr>
      </w:pPr>
    </w:p>
    <w:p>
      <w:pPr>
        <w:jc w:val="both"/>
        <w:ind w:left="580" w:hanging="580"/>
        <w:spacing w:after="0"/>
        <w:tabs>
          <w:tab w:leader="none" w:pos="580" w:val="left"/>
        </w:tabs>
        <w:numPr>
          <w:ilvl w:val="0"/>
          <w:numId w:val="455"/>
        </w:numPr>
        <w:rPr>
          <w:rFonts w:ascii="Calibri" w:cs="Calibri" w:eastAsia="Calibri" w:hAnsi="Calibri"/>
          <w:sz w:val="18"/>
          <w:szCs w:val="18"/>
          <w:color w:val="auto"/>
        </w:rPr>
      </w:pPr>
      <w:r>
        <w:rPr>
          <w:rFonts w:ascii="Calibri" w:cs="Calibri" w:eastAsia="Calibri" w:hAnsi="Calibri"/>
          <w:sz w:val="18"/>
          <w:szCs w:val="18"/>
          <w:color w:val="auto"/>
        </w:rPr>
        <w:t>Copies of any Approved Charter and any related charter guarantee and of all documents signed or issued by the Borrower, the Owner or any party thereto (or any of them) under or in connecton with such documents together, with such documentary evidence as the Agent and</w:t>
      </w:r>
    </w:p>
    <w:p>
      <w:pPr>
        <w:spacing w:after="0" w:line="361"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109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52" w:name="page253"/>
    <w:bookmarkEnd w:id="252"/>
    <w:p>
      <w:pPr>
        <w:ind w:left="600"/>
        <w:spacing w:after="0"/>
        <w:rPr>
          <w:sz w:val="20"/>
          <w:szCs w:val="20"/>
          <w:color w:val="auto"/>
        </w:rPr>
      </w:pPr>
      <w:r>
        <w:rPr>
          <w:rFonts w:ascii="Calibri" w:cs="Calibri" w:eastAsia="Calibri" w:hAnsi="Calibri"/>
          <w:sz w:val="18"/>
          <w:szCs w:val="18"/>
          <w:color w:val="auto"/>
        </w:rPr>
        <w:t>its legal advisers may require in relaton to the due authorisaton and executon of all such documents by the partes thereto.</w:t>
      </w:r>
    </w:p>
    <w:p>
      <w:pPr>
        <w:spacing w:after="0" w:line="181" w:lineRule="exact"/>
        <w:rPr>
          <w:sz w:val="20"/>
          <w:szCs w:val="20"/>
          <w:color w:val="auto"/>
        </w:rPr>
      </w:pPr>
    </w:p>
    <w:p>
      <w:pPr>
        <w:ind w:left="580" w:hanging="580"/>
        <w:spacing w:after="0"/>
        <w:tabs>
          <w:tab w:leader="none" w:pos="580" w:val="left"/>
        </w:tabs>
        <w:numPr>
          <w:ilvl w:val="0"/>
          <w:numId w:val="456"/>
        </w:numPr>
        <w:rPr>
          <w:rFonts w:ascii="Calibri" w:cs="Calibri" w:eastAsia="Calibri" w:hAnsi="Calibri"/>
          <w:sz w:val="18"/>
          <w:szCs w:val="18"/>
          <w:color w:val="auto"/>
        </w:rPr>
      </w:pPr>
      <w:r>
        <w:rPr>
          <w:rFonts w:ascii="Calibri" w:cs="Calibri" w:eastAsia="Calibri" w:hAnsi="Calibri"/>
          <w:sz w:val="18"/>
          <w:szCs w:val="18"/>
          <w:color w:val="auto"/>
        </w:rPr>
        <w:t>Documents establishing that the Ship is or will be managed by the Approved Manager(s) on terms acceptable to the Lenders.</w:t>
      </w:r>
    </w:p>
    <w:p>
      <w:pPr>
        <w:spacing w:after="0" w:line="18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10The Original Financial Statements.</w:t>
      </w:r>
    </w:p>
    <w:p>
      <w:pPr>
        <w:spacing w:after="0" w:line="183" w:lineRule="exact"/>
        <w:rPr>
          <w:sz w:val="20"/>
          <w:szCs w:val="20"/>
          <w:color w:val="auto"/>
        </w:rPr>
      </w:pPr>
    </w:p>
    <w:p>
      <w:pPr>
        <w:ind w:left="580" w:hanging="580"/>
        <w:spacing w:after="0" w:line="228"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A declaraton signed by an ofcer of the Borrower's general partner describing in reasonable detail and any Security Interest falling under paragraph (f) of the defniton of "Permited Security Interests" existng, to the knowledge of the Borrower, at the date of this Agreement.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A copy of the Sale and Purchase Agreement and of all documents signed or issued by the partes thereto under or in connecton with the Sale and Purchase Agreement.</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Such documentary evidence as the Agent and its legal advisors may require in relaton to the due authorisaton and executon of the Sale and Purchase agreement by each of the partes thereto.</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Any documents required by the Agent in respect of the Borrower, the Owner, any other Security Party and any Approved Manager (and their respectve partners or shareholders, as applicable) to satsfy the Lenders' "know your customer" and money laundering requirements including, without limitaton, updated organisatonal charts, updated FATCA and CRS forms.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Favourable legal opinions from lawyers appointed by the Agent on such maters concerning the laws of Liberia, the Marshall Islands and such other relevant jurisdictons as the Agent may require.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57"/>
        </w:numPr>
        <w:rPr>
          <w:rFonts w:ascii="Calibri" w:cs="Calibri" w:eastAsia="Calibri" w:hAnsi="Calibri"/>
          <w:sz w:val="18"/>
          <w:szCs w:val="18"/>
          <w:color w:val="auto"/>
        </w:rPr>
      </w:pPr>
      <w:r>
        <w:rPr>
          <w:rFonts w:ascii="Calibri" w:cs="Calibri" w:eastAsia="Calibri" w:hAnsi="Calibri"/>
          <w:sz w:val="18"/>
          <w:szCs w:val="18"/>
          <w:color w:val="auto"/>
        </w:rPr>
        <w:t>If the Agent so requires, in respect of any of the documents referred to above, a certfed English translaton prepared by a translator approved by the Agent.</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7" w:right="339" w:bottom="1440" w:gutter="0" w:footer="0" w:header="0"/>
        </w:sectPr>
      </w:pPr>
    </w:p>
    <w:bookmarkStart w:id="253" w:name="page254"/>
    <w:bookmarkEnd w:id="253"/>
    <w:p>
      <w:pPr>
        <w:jc w:val="center"/>
        <w:ind w:right="40"/>
        <w:spacing w:after="0"/>
        <w:rPr>
          <w:sz w:val="20"/>
          <w:szCs w:val="20"/>
          <w:color w:val="auto"/>
        </w:rPr>
      </w:pPr>
      <w:r>
        <w:rPr>
          <w:rFonts w:ascii="Calibri" w:cs="Calibri" w:eastAsia="Calibri" w:hAnsi="Calibri"/>
          <w:sz w:val="18"/>
          <w:szCs w:val="18"/>
          <w:b w:val="1"/>
          <w:bCs w:val="1"/>
          <w:color w:val="auto"/>
        </w:rPr>
        <w:t>PART B</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are the documents referred to in Clause 9.1(b) required before the Drawdown Date:</w:t>
      </w:r>
    </w:p>
    <w:p>
      <w:pPr>
        <w:spacing w:after="0" w:line="183" w:lineRule="exact"/>
        <w:rPr>
          <w:sz w:val="20"/>
          <w:szCs w:val="20"/>
          <w:color w:val="auto"/>
        </w:rPr>
      </w:pPr>
    </w:p>
    <w:p>
      <w:pPr>
        <w:ind w:left="580" w:hanging="580"/>
        <w:spacing w:after="0" w:line="228" w:lineRule="auto"/>
        <w:tabs>
          <w:tab w:leader="none" w:pos="580" w:val="left"/>
        </w:tabs>
        <w:numPr>
          <w:ilvl w:val="0"/>
          <w:numId w:val="458"/>
        </w:numPr>
        <w:rPr>
          <w:rFonts w:ascii="Calibri" w:cs="Calibri" w:eastAsia="Calibri" w:hAnsi="Calibri"/>
          <w:sz w:val="18"/>
          <w:szCs w:val="18"/>
          <w:color w:val="auto"/>
        </w:rPr>
      </w:pPr>
      <w:r>
        <w:rPr>
          <w:rFonts w:ascii="Calibri" w:cs="Calibri" w:eastAsia="Calibri" w:hAnsi="Calibri"/>
          <w:sz w:val="18"/>
          <w:szCs w:val="18"/>
          <w:color w:val="auto"/>
        </w:rPr>
        <w:t>A duly executed original of each Mortgage, any Deed of Covenant, each General Assignment, and any Charterparty Assignment relatng to any Assignable Charter (and of each document required to be delivered under each of them), each in respect of the Ship.</w:t>
      </w:r>
    </w:p>
    <w:p>
      <w:pPr>
        <w:spacing w:after="0" w:line="182" w:lineRule="exact"/>
        <w:rPr>
          <w:sz w:val="20"/>
          <w:szCs w:val="20"/>
          <w:color w:val="auto"/>
        </w:rPr>
      </w:pPr>
    </w:p>
    <w:p>
      <w:pPr>
        <w:ind w:left="580" w:hanging="580"/>
        <w:spacing w:after="0"/>
        <w:tabs>
          <w:tab w:leader="none" w:pos="580" w:val="left"/>
        </w:tabs>
        <w:numPr>
          <w:ilvl w:val="0"/>
          <w:numId w:val="459"/>
        </w:numPr>
        <w:rPr>
          <w:rFonts w:ascii="Calibri" w:cs="Calibri" w:eastAsia="Calibri" w:hAnsi="Calibri"/>
          <w:sz w:val="18"/>
          <w:szCs w:val="18"/>
          <w:color w:val="auto"/>
        </w:rPr>
      </w:pPr>
      <w:r>
        <w:rPr>
          <w:rFonts w:ascii="Calibri" w:cs="Calibri" w:eastAsia="Calibri" w:hAnsi="Calibri"/>
          <w:sz w:val="18"/>
          <w:szCs w:val="18"/>
          <w:color w:val="auto"/>
        </w:rPr>
        <w:t>A copy of the relevant invoice from the Builder to be provided by the Builder to the Owner pursuant to the Shipbuilding Contract.</w:t>
      </w:r>
    </w:p>
    <w:p>
      <w:pPr>
        <w:spacing w:after="0" w:line="18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3Documentary evidence that:</w:t>
      </w:r>
    </w:p>
    <w:p>
      <w:pPr>
        <w:spacing w:after="0" w:line="183" w:lineRule="exact"/>
        <w:rPr>
          <w:sz w:val="20"/>
          <w:szCs w:val="20"/>
          <w:color w:val="auto"/>
        </w:rPr>
      </w:pPr>
    </w:p>
    <w:p>
      <w:pPr>
        <w:jc w:val="both"/>
        <w:ind w:left="580" w:hanging="580"/>
        <w:spacing w:after="0" w:line="223"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issued shares of the Owner have been (or on the Delivery Date will be) unconditonally transferred by Capital Maritme &amp; Trading Corp to, and received by the buyer (as such term is defned in the Sale and Purchase Agreement) and that the contract price (as such term is defned in the Sale and Purchase Agreement) and all other sums due to Capital Maritme &amp; Trading Corp. under the Sale and Purchase Agreement, have been paid in full.</w:t>
      </w:r>
    </w:p>
    <w:p>
      <w:pPr>
        <w:spacing w:after="0" w:line="185"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has been unconditonally delivered by the Builder to, and accepted by, the Owner under the Shipbuilding Contract and that the full acquisiton cost payable and all other sums due to the Builder under the Shipbuilding Contract, other than the sums to be fnanced by the Loan, have been paid or will be paid simultaneously with the Loan to the Builder;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is defnitvely and permanently registered in the name of the Owner under the Approved Flag in accordance with the laws of the applicable Approved Flag State;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is in the absolute and unencumbered ownership of the Owner save as contemplated by the Finance Documents;</w:t>
      </w:r>
    </w:p>
    <w:p>
      <w:pPr>
        <w:spacing w:after="0" w:line="183" w:lineRule="exact"/>
        <w:rPr>
          <w:rFonts w:ascii="Calibri" w:cs="Calibri" w:eastAsia="Calibri" w:hAnsi="Calibri"/>
          <w:sz w:val="18"/>
          <w:szCs w:val="18"/>
          <w:color w:val="auto"/>
        </w:rPr>
      </w:pPr>
    </w:p>
    <w:p>
      <w:pPr>
        <w:jc w:val="both"/>
        <w:ind w:left="580" w:hanging="580"/>
        <w:spacing w:after="0" w:line="225"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maintains the class specifed in Clause 14.3(b) with a frst class classifcaton society which is a member of IACS (other than the China Classifcaton Society and the Russian Maritme Registry of Shipping) as the Agent may approve free of all overdue recommendatons and conditons of such classifcaton society;</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Mortgage relatng to the Ship has been duly registered or recorded against the Ship as a valid frst preferred or, as the case may be, priority mortgage in accordance with the laws of the applicable Approved Flag State;</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is insured in accordance with the provisions of this Agreement and all requirements therein in respect of insurances have been complied with;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60"/>
        </w:numPr>
        <w:rPr>
          <w:rFonts w:ascii="Calibri" w:cs="Calibri" w:eastAsia="Calibri" w:hAnsi="Calibri"/>
          <w:sz w:val="18"/>
          <w:szCs w:val="18"/>
          <w:color w:val="auto"/>
        </w:rPr>
      </w:pPr>
      <w:r>
        <w:rPr>
          <w:rFonts w:ascii="Calibri" w:cs="Calibri" w:eastAsia="Calibri" w:hAnsi="Calibri"/>
          <w:sz w:val="18"/>
          <w:szCs w:val="18"/>
          <w:color w:val="auto"/>
        </w:rPr>
        <w:t>the Ship has been delivered to the relevant charterer in accordance with the terms of its Approved Charter.</w:t>
      </w:r>
    </w:p>
    <w:p>
      <w:pPr>
        <w:spacing w:after="0" w:line="181" w:lineRule="exact"/>
        <w:rPr>
          <w:sz w:val="20"/>
          <w:szCs w:val="20"/>
          <w:color w:val="auto"/>
        </w:rPr>
      </w:pPr>
    </w:p>
    <w:p>
      <w:pPr>
        <w:ind w:left="580" w:hanging="580"/>
        <w:spacing w:after="0"/>
        <w:tabs>
          <w:tab w:leader="none" w:pos="580" w:val="left"/>
        </w:tabs>
        <w:numPr>
          <w:ilvl w:val="0"/>
          <w:numId w:val="461"/>
        </w:numPr>
        <w:rPr>
          <w:rFonts w:ascii="Calibri" w:cs="Calibri" w:eastAsia="Calibri" w:hAnsi="Calibri"/>
          <w:sz w:val="18"/>
          <w:szCs w:val="18"/>
          <w:color w:val="auto"/>
        </w:rPr>
      </w:pPr>
      <w:r>
        <w:rPr>
          <w:rFonts w:ascii="Calibri" w:cs="Calibri" w:eastAsia="Calibri" w:hAnsi="Calibri"/>
          <w:sz w:val="18"/>
          <w:szCs w:val="18"/>
          <w:color w:val="auto"/>
        </w:rPr>
        <w:t>In respect of the Approved Manager of the Ship:</w:t>
      </w:r>
    </w:p>
    <w:p>
      <w:pPr>
        <w:spacing w:after="0" w:line="181" w:lineRule="exact"/>
        <w:rPr>
          <w:sz w:val="20"/>
          <w:szCs w:val="20"/>
          <w:color w:val="auto"/>
        </w:rPr>
      </w:pPr>
    </w:p>
    <w:p>
      <w:pPr>
        <w:ind w:left="580" w:hanging="580"/>
        <w:spacing w:after="0"/>
        <w:tabs>
          <w:tab w:leader="none" w:pos="580" w:val="left"/>
        </w:tabs>
        <w:numPr>
          <w:ilvl w:val="0"/>
          <w:numId w:val="462"/>
        </w:numPr>
        <w:rPr>
          <w:rFonts w:ascii="Calibri" w:cs="Calibri" w:eastAsia="Calibri" w:hAnsi="Calibri"/>
          <w:sz w:val="18"/>
          <w:szCs w:val="18"/>
          <w:color w:val="auto"/>
        </w:rPr>
      </w:pPr>
      <w:r>
        <w:rPr>
          <w:rFonts w:ascii="Calibri" w:cs="Calibri" w:eastAsia="Calibri" w:hAnsi="Calibri"/>
          <w:sz w:val="18"/>
          <w:szCs w:val="18"/>
          <w:color w:val="auto"/>
        </w:rPr>
        <w:t>the Approved Manager's Undertaking relatve to the Ship (and of each document required to be delivered under each of them);</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62"/>
        </w:numPr>
        <w:rPr>
          <w:rFonts w:ascii="Calibri" w:cs="Calibri" w:eastAsia="Calibri" w:hAnsi="Calibri"/>
          <w:sz w:val="18"/>
          <w:szCs w:val="18"/>
          <w:color w:val="auto"/>
        </w:rPr>
      </w:pPr>
      <w:r>
        <w:rPr>
          <w:rFonts w:ascii="Calibri" w:cs="Calibri" w:eastAsia="Calibri" w:hAnsi="Calibri"/>
          <w:sz w:val="18"/>
          <w:szCs w:val="18"/>
          <w:color w:val="auto"/>
        </w:rPr>
        <w:t>copies of the Approved Manager's Document of Compliance and of the Ship's Safety Management Certfcate (together with any other details of the applicable safety management system which the Agent requires);</w:t>
      </w:r>
    </w:p>
    <w:p>
      <w:pPr>
        <w:spacing w:after="0" w:line="183" w:lineRule="exact"/>
        <w:rPr>
          <w:sz w:val="20"/>
          <w:szCs w:val="20"/>
          <w:color w:val="auto"/>
        </w:rPr>
      </w:pPr>
    </w:p>
    <w:p>
      <w:pPr>
        <w:jc w:val="both"/>
        <w:ind w:left="5520"/>
        <w:spacing w:after="0"/>
        <w:tabs>
          <w:tab w:leader="none" w:pos="992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54" w:name="page255"/>
    <w:bookmarkEnd w:id="254"/>
    <w:p>
      <w:pPr>
        <w:ind w:left="580" w:hanging="580"/>
        <w:spacing w:after="0"/>
        <w:tabs>
          <w:tab w:leader="none" w:pos="580" w:val="left"/>
        </w:tabs>
        <w:numPr>
          <w:ilvl w:val="0"/>
          <w:numId w:val="463"/>
        </w:numPr>
        <w:rPr>
          <w:rFonts w:ascii="Calibri" w:cs="Calibri" w:eastAsia="Calibri" w:hAnsi="Calibri"/>
          <w:sz w:val="18"/>
          <w:szCs w:val="18"/>
          <w:color w:val="auto"/>
        </w:rPr>
      </w:pPr>
      <w:r>
        <w:rPr>
          <w:rFonts w:ascii="Calibri" w:cs="Calibri" w:eastAsia="Calibri" w:hAnsi="Calibri"/>
          <w:sz w:val="18"/>
          <w:szCs w:val="18"/>
          <w:color w:val="auto"/>
        </w:rPr>
        <w:t>a copy of the Inventory of Hazardous Materials relatng to the Ship;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63"/>
        </w:numPr>
        <w:rPr>
          <w:rFonts w:ascii="Calibri" w:cs="Calibri" w:eastAsia="Calibri" w:hAnsi="Calibri"/>
          <w:sz w:val="18"/>
          <w:szCs w:val="18"/>
          <w:color w:val="auto"/>
        </w:rPr>
      </w:pPr>
      <w:r>
        <w:rPr>
          <w:rFonts w:ascii="Calibri" w:cs="Calibri" w:eastAsia="Calibri" w:hAnsi="Calibri"/>
          <w:sz w:val="18"/>
          <w:szCs w:val="18"/>
          <w:color w:val="auto"/>
        </w:rPr>
        <w:t>a copy of the ISSC in respect of the Ship.</w:t>
      </w:r>
    </w:p>
    <w:p>
      <w:pPr>
        <w:spacing w:after="0" w:line="183" w:lineRule="exact"/>
        <w:rPr>
          <w:sz w:val="20"/>
          <w:szCs w:val="20"/>
          <w:color w:val="auto"/>
        </w:rPr>
      </w:pPr>
    </w:p>
    <w:p>
      <w:pPr>
        <w:ind w:left="580" w:hanging="580"/>
        <w:spacing w:after="0" w:line="228" w:lineRule="auto"/>
        <w:tabs>
          <w:tab w:leader="none" w:pos="580" w:val="left"/>
        </w:tabs>
        <w:numPr>
          <w:ilvl w:val="0"/>
          <w:numId w:val="464"/>
        </w:numPr>
        <w:rPr>
          <w:rFonts w:ascii="Calibri" w:cs="Calibri" w:eastAsia="Calibri" w:hAnsi="Calibri"/>
          <w:sz w:val="18"/>
          <w:szCs w:val="18"/>
          <w:color w:val="auto"/>
        </w:rPr>
      </w:pPr>
      <w:r>
        <w:rPr>
          <w:rFonts w:ascii="Calibri" w:cs="Calibri" w:eastAsia="Calibri" w:hAnsi="Calibri"/>
          <w:sz w:val="18"/>
          <w:szCs w:val="18"/>
          <w:color w:val="auto"/>
        </w:rPr>
        <w:t>One valuaton of the Ship prepared pursuant to Clause 15.3, stated to be for the purposes of this Agreement, which shows a value of the Ship in an amount which satsfes the conditon set out in Clause 9.1(d).</w:t>
      </w:r>
    </w:p>
    <w:p>
      <w:pPr>
        <w:spacing w:after="0" w:line="184" w:lineRule="exact"/>
        <w:rPr>
          <w:sz w:val="20"/>
          <w:szCs w:val="20"/>
          <w:color w:val="auto"/>
        </w:rPr>
      </w:pPr>
    </w:p>
    <w:p>
      <w:pPr>
        <w:ind w:left="580" w:hanging="580"/>
        <w:spacing w:after="0" w:line="228" w:lineRule="auto"/>
        <w:tabs>
          <w:tab w:leader="none" w:pos="580" w:val="left"/>
        </w:tabs>
        <w:numPr>
          <w:ilvl w:val="0"/>
          <w:numId w:val="465"/>
        </w:numPr>
        <w:rPr>
          <w:rFonts w:ascii="Calibri" w:cs="Calibri" w:eastAsia="Calibri" w:hAnsi="Calibri"/>
          <w:sz w:val="18"/>
          <w:szCs w:val="18"/>
          <w:color w:val="auto"/>
        </w:rPr>
      </w:pPr>
      <w:r>
        <w:rPr>
          <w:rFonts w:ascii="Calibri" w:cs="Calibri" w:eastAsia="Calibri" w:hAnsi="Calibri"/>
          <w:sz w:val="18"/>
          <w:szCs w:val="18"/>
          <w:color w:val="auto"/>
        </w:rPr>
        <w:t>A favourable opinion from an independent insurance consultant acceptable to the Agent on such maters relatng to the insurances for the Ship as the Agent may require.</w:t>
      </w:r>
    </w:p>
    <w:p>
      <w:pPr>
        <w:spacing w:after="0" w:line="184" w:lineRule="exact"/>
        <w:rPr>
          <w:sz w:val="20"/>
          <w:szCs w:val="20"/>
          <w:color w:val="auto"/>
        </w:rPr>
      </w:pPr>
    </w:p>
    <w:p>
      <w:pPr>
        <w:ind w:left="580" w:hanging="580"/>
        <w:spacing w:after="0" w:line="228" w:lineRule="auto"/>
        <w:tabs>
          <w:tab w:leader="none" w:pos="580" w:val="left"/>
        </w:tabs>
        <w:numPr>
          <w:ilvl w:val="0"/>
          <w:numId w:val="466"/>
        </w:numPr>
        <w:rPr>
          <w:rFonts w:ascii="Calibri" w:cs="Calibri" w:eastAsia="Calibri" w:hAnsi="Calibri"/>
          <w:sz w:val="18"/>
          <w:szCs w:val="18"/>
          <w:color w:val="auto"/>
        </w:rPr>
      </w:pPr>
      <w:r>
        <w:rPr>
          <w:rFonts w:ascii="Calibri" w:cs="Calibri" w:eastAsia="Calibri" w:hAnsi="Calibri"/>
          <w:sz w:val="18"/>
          <w:szCs w:val="18"/>
          <w:color w:val="auto"/>
        </w:rPr>
        <w:t>Favourable legal opinions from lawyers appointed by the Agent on such maters concerning the law of each Approved Flag State, Liberia, Marshall Islands and such other relevant jurisdictons as the Agent may require.</w:t>
      </w:r>
    </w:p>
    <w:p>
      <w:pPr>
        <w:spacing w:after="0" w:line="184" w:lineRule="exact"/>
        <w:rPr>
          <w:sz w:val="20"/>
          <w:szCs w:val="20"/>
          <w:color w:val="auto"/>
        </w:rPr>
      </w:pPr>
    </w:p>
    <w:p>
      <w:pPr>
        <w:ind w:left="580" w:hanging="580"/>
        <w:spacing w:after="0" w:line="228" w:lineRule="auto"/>
        <w:tabs>
          <w:tab w:leader="none" w:pos="580" w:val="left"/>
        </w:tabs>
        <w:numPr>
          <w:ilvl w:val="0"/>
          <w:numId w:val="467"/>
        </w:numPr>
        <w:rPr>
          <w:rFonts w:ascii="Calibri" w:cs="Calibri" w:eastAsia="Calibri" w:hAnsi="Calibri"/>
          <w:sz w:val="18"/>
          <w:szCs w:val="18"/>
          <w:color w:val="auto"/>
        </w:rPr>
      </w:pPr>
      <w:r>
        <w:rPr>
          <w:rFonts w:ascii="Calibri" w:cs="Calibri" w:eastAsia="Calibri" w:hAnsi="Calibri"/>
          <w:sz w:val="18"/>
          <w:szCs w:val="18"/>
          <w:color w:val="auto"/>
        </w:rPr>
        <w:t>If the Agent so requires, in respect of any of the documents referred to above, a certfed English translaton prepared by a translator approved by the Agent.</w:t>
      </w:r>
    </w:p>
    <w:p>
      <w:pPr>
        <w:spacing w:after="0" w:line="182" w:lineRule="exact"/>
        <w:rPr>
          <w:sz w:val="20"/>
          <w:szCs w:val="20"/>
          <w:color w:val="auto"/>
        </w:rPr>
      </w:pPr>
    </w:p>
    <w:p>
      <w:pPr>
        <w:ind w:left="580" w:hanging="580"/>
        <w:spacing w:after="0"/>
        <w:tabs>
          <w:tab w:leader="none" w:pos="580" w:val="left"/>
        </w:tabs>
        <w:numPr>
          <w:ilvl w:val="0"/>
          <w:numId w:val="468"/>
        </w:numPr>
        <w:rPr>
          <w:rFonts w:ascii="Calibri" w:cs="Calibri" w:eastAsia="Calibri" w:hAnsi="Calibri"/>
          <w:sz w:val="18"/>
          <w:szCs w:val="18"/>
          <w:color w:val="auto"/>
        </w:rPr>
      </w:pPr>
      <w:r>
        <w:rPr>
          <w:rFonts w:ascii="Calibri" w:cs="Calibri" w:eastAsia="Calibri" w:hAnsi="Calibri"/>
          <w:sz w:val="18"/>
          <w:szCs w:val="18"/>
          <w:color w:val="auto"/>
        </w:rPr>
        <w:t>Evidence satsfactory to the Agent of payment of all fees due and payable in accordance with the Finance Documents.</w:t>
      </w:r>
    </w:p>
    <w:p>
      <w:pPr>
        <w:spacing w:after="0" w:line="18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10The most recent survey report or other comparable document in respect of the physical conditon of the Ship.</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55" w:name="page256"/>
    <w:bookmarkEnd w:id="255"/>
    <w:p>
      <w:pPr>
        <w:jc w:val="center"/>
        <w:spacing w:after="0"/>
        <w:rPr>
          <w:sz w:val="20"/>
          <w:szCs w:val="20"/>
          <w:color w:val="auto"/>
        </w:rPr>
      </w:pPr>
      <w:r>
        <w:rPr>
          <w:rFonts w:ascii="Calibri" w:cs="Calibri" w:eastAsia="Calibri" w:hAnsi="Calibri"/>
          <w:sz w:val="18"/>
          <w:szCs w:val="18"/>
          <w:b w:val="1"/>
          <w:bCs w:val="1"/>
          <w:color w:val="auto"/>
        </w:rPr>
        <w:t>PART C</w:t>
      </w:r>
    </w:p>
    <w:p>
      <w:pPr>
        <w:spacing w:after="0" w:line="183"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following are the documents referred to in Clause 9.3 and the Borrower shall use its best endeavours to deliver or cause to be delivered to the Agent no later than 30 Business Days afer the Drawdown Date.</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The duly executed charterer's acknowledgment to the assignment of the Approved Charter pursuant to the Charterparty Assignment.</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Each of the documents specifed in paragraphs 3 and 4 of Part A shall be notarised or legalised by a competent authority acceptable to the Agent and every other copy document delivered under this Schedule shall be certfed as a true and up to date copy by a director or the secretary (or equivalent ofcer) of the Borrower.</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56" w:name="page257"/>
    <w:bookmarkEnd w:id="256"/>
    <w:p>
      <w:pPr>
        <w:jc w:val="center"/>
        <w:spacing w:after="0"/>
        <w:rPr>
          <w:sz w:val="20"/>
          <w:szCs w:val="20"/>
          <w:color w:val="auto"/>
        </w:rPr>
      </w:pPr>
      <w:r>
        <w:rPr>
          <w:rFonts w:ascii="Calibri" w:cs="Calibri" w:eastAsia="Calibri" w:hAnsi="Calibri"/>
          <w:sz w:val="18"/>
          <w:szCs w:val="18"/>
          <w:b w:val="1"/>
          <w:bCs w:val="1"/>
          <w:color w:val="auto"/>
        </w:rPr>
        <w:t>SCHEDULE 4</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TRANSFER CERTIFICATE</w:t>
      </w:r>
    </w:p>
    <w:p>
      <w:pPr>
        <w:spacing w:after="0" w:line="18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The Transferor and the Transferee accept exclusive responsibility for ensuring that this Certfcate and the transacton to which it relates comply with all legal and regulatory requirements applicable to them respectvely.</w:t>
      </w:r>
    </w:p>
    <w:p>
      <w:pPr>
        <w:spacing w:after="0" w:line="18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To: Hamburg Commercial Bank AG for itself and for and on behalf of the Borrower, each Security Party, the Security Trustee and each Lender, as defned in the Loan Agreement referred to below.</w:t>
      </w:r>
    </w:p>
    <w:p>
      <w:pPr>
        <w:spacing w:after="0" w:line="209" w:lineRule="exact"/>
        <w:rPr>
          <w:sz w:val="20"/>
          <w:szCs w:val="20"/>
          <w:color w:val="auto"/>
        </w:rPr>
      </w:pPr>
    </w:p>
    <w:p>
      <w:pPr>
        <w:ind w:left="11000"/>
        <w:spacing w:after="0"/>
        <w:rPr>
          <w:sz w:val="20"/>
          <w:szCs w:val="20"/>
          <w:color w:val="auto"/>
        </w:rPr>
      </w:pPr>
      <w:r>
        <w:rPr>
          <w:rFonts w:ascii="Calibri" w:cs="Calibri" w:eastAsia="Calibri" w:hAnsi="Calibri"/>
          <w:sz w:val="17"/>
          <w:szCs w:val="17"/>
          <w:color w:val="auto"/>
        </w:rPr>
        <w:t>[</w:t>
      </w:r>
      <w:r>
        <w:rPr>
          <w:rFonts w:ascii="Wingdings" w:cs="Wingdings" w:eastAsia="Wingdings" w:hAnsi="Wingdings"/>
          <w:sz w:val="17"/>
          <w:szCs w:val="17"/>
          <w:b w:val="1"/>
          <w:bCs w:val="1"/>
          <w:color w:val="auto"/>
        </w:rPr>
        <w:t>l</w:t>
      </w:r>
      <w:r>
        <w:rPr>
          <w:rFonts w:ascii="Calibri" w:cs="Calibri" w:eastAsia="Calibri" w:hAnsi="Calibri"/>
          <w:sz w:val="17"/>
          <w:szCs w:val="17"/>
          <w:color w:val="auto"/>
        </w:rPr>
        <w:t>]</w:t>
      </w:r>
    </w:p>
    <w:p>
      <w:pPr>
        <w:spacing w:after="0" w:line="218" w:lineRule="exact"/>
        <w:rPr>
          <w:sz w:val="20"/>
          <w:szCs w:val="20"/>
          <w:color w:val="auto"/>
        </w:rPr>
      </w:pPr>
    </w:p>
    <w:p>
      <w:pPr>
        <w:jc w:val="both"/>
        <w:ind w:left="580" w:hanging="580"/>
        <w:spacing w:after="0" w:line="223" w:lineRule="auto"/>
        <w:tabs>
          <w:tab w:leader="none" w:pos="580" w:val="left"/>
        </w:tabs>
        <w:numPr>
          <w:ilvl w:val="0"/>
          <w:numId w:val="469"/>
        </w:numPr>
        <w:rPr>
          <w:rFonts w:ascii="Calibri" w:cs="Calibri" w:eastAsia="Calibri" w:hAnsi="Calibri"/>
          <w:sz w:val="18"/>
          <w:szCs w:val="18"/>
          <w:color w:val="auto"/>
        </w:rPr>
      </w:pPr>
      <w:r>
        <w:rPr>
          <w:rFonts w:ascii="Calibri" w:cs="Calibri" w:eastAsia="Calibri" w:hAnsi="Calibri"/>
          <w:sz w:val="18"/>
          <w:szCs w:val="18"/>
          <w:color w:val="auto"/>
        </w:rPr>
        <w:t>This Certfcate relates to a Loan Agreement (the "Loan Agreement") dated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and made between (1) Capital Product Partners L.P. (the "Borrower") as Borrower, (2) the banks and fnancial insttutons named therein as Lenders, (3) Hamburg Commercial Bank AG as Agent (4) Hamburg Commercial Bank AG as Mandated Lead Arranger and (5) Hamburg Commercial Bank AG as Security Trustee for a loan facility of up to US$105,000,000.</w:t>
      </w:r>
    </w:p>
    <w:p>
      <w:pPr>
        <w:spacing w:after="0" w:line="185" w:lineRule="exact"/>
        <w:rPr>
          <w:sz w:val="20"/>
          <w:szCs w:val="20"/>
          <w:color w:val="auto"/>
        </w:rPr>
      </w:pPr>
    </w:p>
    <w:p>
      <w:pPr>
        <w:ind w:left="600" w:right="740" w:hanging="600"/>
        <w:spacing w:after="0" w:line="435" w:lineRule="auto"/>
        <w:tabs>
          <w:tab w:leader="none" w:pos="597" w:val="left"/>
        </w:tabs>
        <w:numPr>
          <w:ilvl w:val="0"/>
          <w:numId w:val="470"/>
        </w:numPr>
        <w:rPr>
          <w:rFonts w:ascii="Calibri" w:cs="Calibri" w:eastAsia="Calibri" w:hAnsi="Calibri"/>
          <w:sz w:val="18"/>
          <w:szCs w:val="18"/>
          <w:color w:val="auto"/>
        </w:rPr>
      </w:pPr>
      <w:r>
        <w:rPr>
          <w:rFonts w:ascii="Calibri" w:cs="Calibri" w:eastAsia="Calibri" w:hAnsi="Calibri"/>
          <w:sz w:val="18"/>
          <w:szCs w:val="18"/>
          <w:color w:val="auto"/>
        </w:rPr>
        <w:t>In this Certfcate, terms defned in the Loan Agreement shall, unless the contrary intenton appears, have the same meanings and: "</w:t>
      </w:r>
      <w:r>
        <w:rPr>
          <w:rFonts w:ascii="Calibri" w:cs="Calibri" w:eastAsia="Calibri" w:hAnsi="Calibri"/>
          <w:sz w:val="18"/>
          <w:szCs w:val="18"/>
          <w:b w:val="1"/>
          <w:bCs w:val="1"/>
          <w:color w:val="auto"/>
        </w:rPr>
        <w:t>Relevant Partes</w:t>
      </w:r>
      <w:r>
        <w:rPr>
          <w:rFonts w:ascii="Calibri" w:cs="Calibri" w:eastAsia="Calibri" w:hAnsi="Calibri"/>
          <w:sz w:val="18"/>
          <w:szCs w:val="18"/>
          <w:color w:val="auto"/>
        </w:rPr>
        <w:t>" means the Agent, the Borrower, each Security Party, the Security Trustee and each Lender;</w:t>
      </w:r>
    </w:p>
    <w:p>
      <w:pPr>
        <w:spacing w:after="0" w:line="5" w:lineRule="exact"/>
        <w:rPr>
          <w:rFonts w:ascii="Calibri" w:cs="Calibri" w:eastAsia="Calibri" w:hAnsi="Calibri"/>
          <w:sz w:val="18"/>
          <w:szCs w:val="18"/>
          <w:color w:val="auto"/>
        </w:rPr>
      </w:pPr>
    </w:p>
    <w:p>
      <w:pPr>
        <w:ind w:left="600" w:right="6520"/>
        <w:spacing w:after="0" w:line="435" w:lineRule="auto"/>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Transferor</w:t>
      </w:r>
      <w:r>
        <w:rPr>
          <w:rFonts w:ascii="Calibri" w:cs="Calibri" w:eastAsia="Calibri" w:hAnsi="Calibri"/>
          <w:sz w:val="18"/>
          <w:szCs w:val="18"/>
          <w:color w:val="auto"/>
        </w:rPr>
        <w:t>" means [full name] of [lending ofce]; and "</w:t>
      </w:r>
      <w:r>
        <w:rPr>
          <w:rFonts w:ascii="Calibri" w:cs="Calibri" w:eastAsia="Calibri" w:hAnsi="Calibri"/>
          <w:sz w:val="18"/>
          <w:szCs w:val="18"/>
          <w:b w:val="1"/>
          <w:bCs w:val="1"/>
          <w:color w:val="auto"/>
        </w:rPr>
        <w:t>Transferee</w:t>
      </w:r>
      <w:r>
        <w:rPr>
          <w:rFonts w:ascii="Calibri" w:cs="Calibri" w:eastAsia="Calibri" w:hAnsi="Calibri"/>
          <w:sz w:val="18"/>
          <w:szCs w:val="18"/>
          <w:color w:val="auto"/>
        </w:rPr>
        <w:t>" means [full name] of [lending ofce].</w:t>
      </w:r>
    </w:p>
    <w:p>
      <w:pPr>
        <w:spacing w:after="0" w:line="30" w:lineRule="exact"/>
        <w:rPr>
          <w:sz w:val="20"/>
          <w:szCs w:val="20"/>
          <w:color w:val="auto"/>
        </w:rPr>
      </w:pPr>
    </w:p>
    <w:p>
      <w:pPr>
        <w:ind w:left="580" w:hanging="580"/>
        <w:spacing w:after="0" w:line="228" w:lineRule="auto"/>
        <w:tabs>
          <w:tab w:leader="none" w:pos="580" w:val="left"/>
        </w:tabs>
        <w:numPr>
          <w:ilvl w:val="0"/>
          <w:numId w:val="471"/>
        </w:numPr>
        <w:rPr>
          <w:rFonts w:ascii="Calibri" w:cs="Calibri" w:eastAsia="Calibri" w:hAnsi="Calibri"/>
          <w:sz w:val="18"/>
          <w:szCs w:val="18"/>
          <w:color w:val="auto"/>
        </w:rPr>
      </w:pPr>
      <w:r>
        <w:rPr>
          <w:rFonts w:ascii="Calibri" w:cs="Calibri" w:eastAsia="Calibri" w:hAnsi="Calibri"/>
          <w:sz w:val="18"/>
          <w:szCs w:val="18"/>
          <w:color w:val="auto"/>
        </w:rPr>
        <w:t>The efectve date of this Certfcate is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Provided that this Certfcate shall not come into efect unless it is signed by the Agent on or before that date.</w:t>
      </w:r>
    </w:p>
    <w:p>
      <w:pPr>
        <w:spacing w:after="0" w:line="184" w:lineRule="exact"/>
        <w:rPr>
          <w:sz w:val="20"/>
          <w:szCs w:val="20"/>
          <w:color w:val="auto"/>
        </w:rPr>
      </w:pPr>
    </w:p>
    <w:p>
      <w:pPr>
        <w:jc w:val="both"/>
        <w:ind w:left="580" w:hanging="580"/>
        <w:spacing w:after="0" w:line="245" w:lineRule="auto"/>
        <w:tabs>
          <w:tab w:leader="none" w:pos="580" w:val="left"/>
        </w:tabs>
        <w:numPr>
          <w:ilvl w:val="0"/>
          <w:numId w:val="472"/>
        </w:numPr>
        <w:rPr>
          <w:rFonts w:ascii="Calibri" w:cs="Calibri" w:eastAsia="Calibri" w:hAnsi="Calibri"/>
          <w:sz w:val="18"/>
          <w:szCs w:val="18"/>
          <w:color w:val="auto"/>
        </w:rPr>
      </w:pPr>
      <w:r>
        <w:rPr>
          <w:rFonts w:ascii="Calibri" w:cs="Calibri" w:eastAsia="Calibri" w:hAnsi="Calibri"/>
          <w:sz w:val="18"/>
          <w:szCs w:val="18"/>
          <w:color w:val="auto"/>
        </w:rPr>
        <w:t>The Transferor assigns to the Transferee absolutely all rights and interests (present, future or contngent) which the Transferor has as Lender under or by virtue of the Loan Agreement and every other Finance Document in relaton to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per cent. of its Contributon, which percentage represents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79" w:lineRule="exact"/>
        <w:rPr>
          <w:sz w:val="20"/>
          <w:szCs w:val="20"/>
          <w:color w:val="auto"/>
        </w:rPr>
      </w:pPr>
    </w:p>
    <w:p>
      <w:pPr>
        <w:jc w:val="both"/>
        <w:ind w:left="580" w:hanging="580"/>
        <w:spacing w:after="0" w:line="245" w:lineRule="auto"/>
        <w:tabs>
          <w:tab w:leader="none" w:pos="580" w:val="left"/>
        </w:tabs>
        <w:numPr>
          <w:ilvl w:val="0"/>
          <w:numId w:val="473"/>
        </w:numPr>
        <w:rPr>
          <w:rFonts w:ascii="Calibri" w:cs="Calibri" w:eastAsia="Calibri" w:hAnsi="Calibri"/>
          <w:sz w:val="18"/>
          <w:szCs w:val="18"/>
          <w:color w:val="auto"/>
        </w:rPr>
      </w:pPr>
      <w:r>
        <w:rPr>
          <w:rFonts w:ascii="Calibri" w:cs="Calibri" w:eastAsia="Calibri" w:hAnsi="Calibri"/>
          <w:sz w:val="18"/>
          <w:szCs w:val="18"/>
          <w:color w:val="auto"/>
        </w:rPr>
        <w:t>By virtue of this Certfcate and Clause 26 of the Loan Agreement, the Transferor is discharged [entrely from its Commitment which amounts to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[from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per cent. of its Commitment, which percentage represents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and, subject to Clause 26.7 of the Loan Agreement, from all obligatons connected therewith, the Transferee acquires a Commitment of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79" w:lineRule="exact"/>
        <w:rPr>
          <w:sz w:val="20"/>
          <w:szCs w:val="20"/>
          <w:color w:val="auto"/>
        </w:rPr>
      </w:pPr>
    </w:p>
    <w:p>
      <w:pPr>
        <w:jc w:val="both"/>
        <w:ind w:left="580" w:hanging="580"/>
        <w:spacing w:after="0"/>
        <w:tabs>
          <w:tab w:leader="none" w:pos="580" w:val="left"/>
        </w:tabs>
        <w:numPr>
          <w:ilvl w:val="0"/>
          <w:numId w:val="474"/>
        </w:numPr>
        <w:rPr>
          <w:rFonts w:ascii="Calibri" w:cs="Calibri" w:eastAsia="Calibri" w:hAnsi="Calibri"/>
          <w:sz w:val="18"/>
          <w:szCs w:val="18"/>
          <w:color w:val="auto"/>
        </w:rPr>
      </w:pPr>
      <w:r>
        <w:rPr>
          <w:rFonts w:ascii="Calibri" w:cs="Calibri" w:eastAsia="Calibri" w:hAnsi="Calibri"/>
          <w:sz w:val="18"/>
          <w:szCs w:val="18"/>
          <w:color w:val="auto"/>
        </w:rPr>
        <w:t>The Transferee undertakes with the Transferor and each of the Relevant Partes that the Transferee will observe and perform all the obligatons under the Finance Documents which Clause 26 of the Loan Agreement provides will become binding on it upon this Certfcate taking efect.</w:t>
      </w:r>
    </w:p>
    <w:p>
      <w:pPr>
        <w:spacing w:after="0" w:line="362" w:lineRule="exact"/>
        <w:rPr>
          <w:sz w:val="20"/>
          <w:szCs w:val="20"/>
          <w:color w:val="auto"/>
        </w:rPr>
      </w:pPr>
    </w:p>
    <w:p>
      <w:pPr>
        <w:ind w:left="580" w:hanging="580"/>
        <w:spacing w:after="0" w:line="228" w:lineRule="auto"/>
        <w:tabs>
          <w:tab w:leader="none" w:pos="580" w:val="left"/>
        </w:tabs>
        <w:numPr>
          <w:ilvl w:val="0"/>
          <w:numId w:val="475"/>
        </w:numPr>
        <w:rPr>
          <w:rFonts w:ascii="Calibri" w:cs="Calibri" w:eastAsia="Calibri" w:hAnsi="Calibri"/>
          <w:sz w:val="18"/>
          <w:szCs w:val="18"/>
          <w:color w:val="auto"/>
        </w:rPr>
      </w:pPr>
      <w:r>
        <w:rPr>
          <w:rFonts w:ascii="Calibri" w:cs="Calibri" w:eastAsia="Calibri" w:hAnsi="Calibri"/>
          <w:sz w:val="18"/>
          <w:szCs w:val="18"/>
          <w:color w:val="auto"/>
        </w:rPr>
        <w:t>The Agent, at the request of the Transferee (which request is hereby made) accepts, for the Agent itself and for and on behalf of every other Relevant Party, this Certfcate as a Transfer Certfcate taking efect in accordance with Clause 26 of the Loan Agreement.</w:t>
      </w:r>
    </w:p>
    <w:p>
      <w:pPr>
        <w:spacing w:after="0" w:line="182" w:lineRule="exact"/>
        <w:rPr>
          <w:sz w:val="20"/>
          <w:szCs w:val="20"/>
          <w:color w:val="auto"/>
        </w:rPr>
      </w:pPr>
    </w:p>
    <w:p>
      <w:pPr>
        <w:ind w:left="580" w:hanging="580"/>
        <w:spacing w:after="0"/>
        <w:tabs>
          <w:tab w:leader="none" w:pos="580" w:val="left"/>
        </w:tabs>
        <w:numPr>
          <w:ilvl w:val="0"/>
          <w:numId w:val="476"/>
        </w:numPr>
        <w:rPr>
          <w:rFonts w:ascii="Calibri" w:cs="Calibri" w:eastAsia="Calibri" w:hAnsi="Calibri"/>
          <w:sz w:val="18"/>
          <w:szCs w:val="18"/>
          <w:color w:val="auto"/>
        </w:rPr>
      </w:pPr>
      <w:r>
        <w:rPr>
          <w:rFonts w:ascii="Calibri" w:cs="Calibri" w:eastAsia="Calibri" w:hAnsi="Calibri"/>
          <w:sz w:val="18"/>
          <w:szCs w:val="18"/>
          <w:color w:val="auto"/>
        </w:rPr>
        <w:t>The Transferor:</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57" w:name="page258"/>
    <w:bookmarkEnd w:id="257"/>
    <w:p>
      <w:pPr>
        <w:ind w:left="580" w:hanging="580"/>
        <w:spacing w:after="0"/>
        <w:tabs>
          <w:tab w:leader="none" w:pos="580" w:val="left"/>
        </w:tabs>
        <w:numPr>
          <w:ilvl w:val="0"/>
          <w:numId w:val="477"/>
        </w:numPr>
        <w:rPr>
          <w:rFonts w:ascii="Calibri" w:cs="Calibri" w:eastAsia="Calibri" w:hAnsi="Calibri"/>
          <w:sz w:val="18"/>
          <w:szCs w:val="18"/>
          <w:color w:val="auto"/>
        </w:rPr>
      </w:pPr>
      <w:r>
        <w:rPr>
          <w:rFonts w:ascii="Calibri" w:cs="Calibri" w:eastAsia="Calibri" w:hAnsi="Calibri"/>
          <w:sz w:val="18"/>
          <w:szCs w:val="18"/>
          <w:color w:val="auto"/>
        </w:rPr>
        <w:t>warrants to the Transferee and each Relevant Party that:</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77"/>
        </w:numPr>
        <w:rPr>
          <w:rFonts w:ascii="Calibri" w:cs="Calibri" w:eastAsia="Calibri" w:hAnsi="Calibri"/>
          <w:sz w:val="18"/>
          <w:szCs w:val="18"/>
          <w:color w:val="auto"/>
        </w:rPr>
      </w:pPr>
      <w:r>
        <w:rPr>
          <w:rFonts w:ascii="Calibri" w:cs="Calibri" w:eastAsia="Calibri" w:hAnsi="Calibri"/>
          <w:sz w:val="18"/>
          <w:szCs w:val="18"/>
          <w:color w:val="auto"/>
        </w:rPr>
        <w:t>the Transferor has full capacity to enter into this transacton and has taken all corporate acton and obtained all consents which are in connecton with this transacton;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77"/>
        </w:numPr>
        <w:rPr>
          <w:rFonts w:ascii="Calibri" w:cs="Calibri" w:eastAsia="Calibri" w:hAnsi="Calibri"/>
          <w:sz w:val="18"/>
          <w:szCs w:val="18"/>
          <w:color w:val="auto"/>
        </w:rPr>
      </w:pPr>
      <w:r>
        <w:rPr>
          <w:rFonts w:ascii="Calibri" w:cs="Calibri" w:eastAsia="Calibri" w:hAnsi="Calibri"/>
          <w:sz w:val="18"/>
          <w:szCs w:val="18"/>
          <w:color w:val="auto"/>
        </w:rPr>
        <w:t>this Certfcate is valid and binding as regards the Transferor;</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77"/>
        </w:numPr>
        <w:rPr>
          <w:rFonts w:ascii="Calibri" w:cs="Calibri" w:eastAsia="Calibri" w:hAnsi="Calibri"/>
          <w:sz w:val="18"/>
          <w:szCs w:val="18"/>
          <w:color w:val="auto"/>
        </w:rPr>
      </w:pPr>
      <w:r>
        <w:rPr>
          <w:rFonts w:ascii="Calibri" w:cs="Calibri" w:eastAsia="Calibri" w:hAnsi="Calibri"/>
          <w:sz w:val="18"/>
          <w:szCs w:val="18"/>
          <w:color w:val="auto"/>
        </w:rPr>
        <w:t>warrants to the Transferee that the Transferor is absolutely enttled, free of encumbrances, to all the rights and interests covered by the assignment in paragraph 4 above; and</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77"/>
        </w:numPr>
        <w:rPr>
          <w:rFonts w:ascii="Calibri" w:cs="Calibri" w:eastAsia="Calibri" w:hAnsi="Calibri"/>
          <w:sz w:val="18"/>
          <w:szCs w:val="18"/>
          <w:color w:val="auto"/>
        </w:rPr>
      </w:pPr>
      <w:r>
        <w:rPr>
          <w:rFonts w:ascii="Calibri" w:cs="Calibri" w:eastAsia="Calibri" w:hAnsi="Calibri"/>
          <w:sz w:val="18"/>
          <w:szCs w:val="18"/>
          <w:color w:val="auto"/>
        </w:rPr>
        <w:t>undertakes with the Transferee that the Transferor will, at its own expense, execute any documents which the Transferee reasonably requests for perfectng in any relevant jurisdicton the Transferee's ttle under this Certfcate or for a similar purpose.</w:t>
      </w:r>
    </w:p>
    <w:p>
      <w:pPr>
        <w:spacing w:after="0" w:line="182" w:lineRule="exact"/>
        <w:rPr>
          <w:sz w:val="20"/>
          <w:szCs w:val="20"/>
          <w:color w:val="auto"/>
        </w:rPr>
      </w:pPr>
    </w:p>
    <w:p>
      <w:pPr>
        <w:ind w:left="580" w:hanging="580"/>
        <w:spacing w:after="0"/>
        <w:tabs>
          <w:tab w:leader="none" w:pos="580" w:val="left"/>
        </w:tabs>
        <w:numPr>
          <w:ilvl w:val="0"/>
          <w:numId w:val="478"/>
        </w:numPr>
        <w:rPr>
          <w:rFonts w:ascii="Calibri" w:cs="Calibri" w:eastAsia="Calibri" w:hAnsi="Calibri"/>
          <w:sz w:val="18"/>
          <w:szCs w:val="18"/>
          <w:color w:val="auto"/>
        </w:rPr>
      </w:pPr>
      <w:r>
        <w:rPr>
          <w:rFonts w:ascii="Calibri" w:cs="Calibri" w:eastAsia="Calibri" w:hAnsi="Calibri"/>
          <w:sz w:val="18"/>
          <w:szCs w:val="18"/>
          <w:color w:val="auto"/>
        </w:rPr>
        <w:t>The Transferee:</w:t>
      </w:r>
    </w:p>
    <w:p>
      <w:pPr>
        <w:spacing w:after="0" w:line="181" w:lineRule="exact"/>
        <w:rPr>
          <w:sz w:val="20"/>
          <w:szCs w:val="20"/>
          <w:color w:val="auto"/>
        </w:rPr>
      </w:pPr>
    </w:p>
    <w:p>
      <w:pPr>
        <w:ind w:left="580" w:hanging="580"/>
        <w:spacing w:after="0"/>
        <w:tabs>
          <w:tab w:leader="none" w:pos="580" w:val="left"/>
        </w:tabs>
        <w:numPr>
          <w:ilvl w:val="0"/>
          <w:numId w:val="479"/>
        </w:numPr>
        <w:rPr>
          <w:rFonts w:ascii="Calibri" w:cs="Calibri" w:eastAsia="Calibri" w:hAnsi="Calibri"/>
          <w:sz w:val="18"/>
          <w:szCs w:val="18"/>
          <w:color w:val="auto"/>
        </w:rPr>
      </w:pPr>
      <w:r>
        <w:rPr>
          <w:rFonts w:ascii="Calibri" w:cs="Calibri" w:eastAsia="Calibri" w:hAnsi="Calibri"/>
          <w:sz w:val="18"/>
          <w:szCs w:val="18"/>
          <w:color w:val="auto"/>
        </w:rPr>
        <w:t>confrms that it has received a copy of the Loan Agreement and each of the other Finance Documents;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79"/>
        </w:numPr>
        <w:rPr>
          <w:rFonts w:ascii="Calibri" w:cs="Calibri" w:eastAsia="Calibri" w:hAnsi="Calibri"/>
          <w:sz w:val="18"/>
          <w:szCs w:val="18"/>
          <w:color w:val="auto"/>
        </w:rPr>
      </w:pPr>
      <w:r>
        <w:rPr>
          <w:rFonts w:ascii="Calibri" w:cs="Calibri" w:eastAsia="Calibri" w:hAnsi="Calibri"/>
          <w:sz w:val="18"/>
          <w:szCs w:val="18"/>
          <w:color w:val="auto"/>
        </w:rPr>
        <w:t>agrees that it will have no rights of recourse on any ground against either the Transferor, the Agent, the Mandated Lead Arranger, the Security Trustee or any Lender in the event that:</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79"/>
        </w:numPr>
        <w:rPr>
          <w:rFonts w:ascii="Calibri" w:cs="Calibri" w:eastAsia="Calibri" w:hAnsi="Calibri"/>
          <w:sz w:val="18"/>
          <w:szCs w:val="18"/>
          <w:color w:val="auto"/>
        </w:rPr>
      </w:pPr>
      <w:r>
        <w:rPr>
          <w:rFonts w:ascii="Calibri" w:cs="Calibri" w:eastAsia="Calibri" w:hAnsi="Calibri"/>
          <w:sz w:val="18"/>
          <w:szCs w:val="18"/>
          <w:color w:val="auto"/>
        </w:rPr>
        <w:t>any of the Finance Documents prove to be invalid or inefectve;</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79"/>
        </w:numPr>
        <w:rPr>
          <w:rFonts w:ascii="Calibri" w:cs="Calibri" w:eastAsia="Calibri" w:hAnsi="Calibri"/>
          <w:sz w:val="18"/>
          <w:szCs w:val="18"/>
          <w:color w:val="auto"/>
        </w:rPr>
      </w:pPr>
      <w:r>
        <w:rPr>
          <w:rFonts w:ascii="Calibri" w:cs="Calibri" w:eastAsia="Calibri" w:hAnsi="Calibri"/>
          <w:sz w:val="18"/>
          <w:szCs w:val="18"/>
          <w:color w:val="auto"/>
        </w:rPr>
        <w:t>the Borrower or any Security Party fails to observe or perform its obligatons, or to discharge its liabilites, under any of the Finance Documents;</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79"/>
        </w:numPr>
        <w:rPr>
          <w:rFonts w:ascii="Calibri" w:cs="Calibri" w:eastAsia="Calibri" w:hAnsi="Calibri"/>
          <w:sz w:val="18"/>
          <w:szCs w:val="18"/>
          <w:color w:val="auto"/>
        </w:rPr>
      </w:pPr>
      <w:r>
        <w:rPr>
          <w:rFonts w:ascii="Calibri" w:cs="Calibri" w:eastAsia="Calibri" w:hAnsi="Calibri"/>
          <w:sz w:val="18"/>
          <w:szCs w:val="18"/>
          <w:color w:val="auto"/>
        </w:rPr>
        <w:t>it proves impossible to realise any asset covered by a Security Interest created by a Finance Document, or the proceeds of such assets are insufcient to discharge the liabilites of the Borrower or any Security Party under the Finance Documents;</w:t>
      </w:r>
    </w:p>
    <w:p>
      <w:pPr>
        <w:spacing w:after="0" w:line="183" w:lineRule="exact"/>
        <w:rPr>
          <w:rFonts w:ascii="Calibri" w:cs="Calibri" w:eastAsia="Calibri" w:hAnsi="Calibri"/>
          <w:sz w:val="18"/>
          <w:szCs w:val="18"/>
          <w:color w:val="auto"/>
        </w:rPr>
      </w:pPr>
    </w:p>
    <w:p>
      <w:pPr>
        <w:ind w:left="580" w:hanging="580"/>
        <w:spacing w:after="0" w:line="228" w:lineRule="auto"/>
        <w:tabs>
          <w:tab w:leader="none" w:pos="580" w:val="left"/>
        </w:tabs>
        <w:numPr>
          <w:ilvl w:val="0"/>
          <w:numId w:val="479"/>
        </w:numPr>
        <w:rPr>
          <w:rFonts w:ascii="Calibri" w:cs="Calibri" w:eastAsia="Calibri" w:hAnsi="Calibri"/>
          <w:sz w:val="18"/>
          <w:szCs w:val="18"/>
          <w:color w:val="auto"/>
        </w:rPr>
      </w:pPr>
      <w:r>
        <w:rPr>
          <w:rFonts w:ascii="Calibri" w:cs="Calibri" w:eastAsia="Calibri" w:hAnsi="Calibri"/>
          <w:sz w:val="18"/>
          <w:szCs w:val="18"/>
          <w:color w:val="auto"/>
        </w:rPr>
        <w:t>agrees that it will have no rights of recourse on any ground against the Agent, the Mandated Lead Arranger, the Security Trustee or any Lender in the event that this Certfcate proves to be invalid or inefectve;</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79"/>
        </w:numPr>
        <w:rPr>
          <w:rFonts w:ascii="Calibri" w:cs="Calibri" w:eastAsia="Calibri" w:hAnsi="Calibri"/>
          <w:sz w:val="18"/>
          <w:szCs w:val="18"/>
          <w:color w:val="auto"/>
        </w:rPr>
      </w:pPr>
      <w:r>
        <w:rPr>
          <w:rFonts w:ascii="Calibri" w:cs="Calibri" w:eastAsia="Calibri" w:hAnsi="Calibri"/>
          <w:sz w:val="18"/>
          <w:szCs w:val="18"/>
          <w:color w:val="auto"/>
        </w:rPr>
        <w:t>warrants to the Transferor and each Relevant Party that:</w:t>
      </w:r>
    </w:p>
    <w:p>
      <w:pPr>
        <w:spacing w:after="0" w:line="183" w:lineRule="exact"/>
        <w:rPr>
          <w:rFonts w:ascii="Calibri" w:cs="Calibri" w:eastAsia="Calibri" w:hAnsi="Calibri"/>
          <w:sz w:val="18"/>
          <w:szCs w:val="18"/>
          <w:color w:val="auto"/>
        </w:rPr>
      </w:pPr>
    </w:p>
    <w:p>
      <w:pPr>
        <w:ind w:left="1180" w:hanging="591"/>
        <w:spacing w:after="0" w:line="228" w:lineRule="auto"/>
        <w:tabs>
          <w:tab w:leader="none" w:pos="1180" w:val="left"/>
        </w:tabs>
        <w:numPr>
          <w:ilvl w:val="1"/>
          <w:numId w:val="479"/>
        </w:numPr>
        <w:rPr>
          <w:rFonts w:ascii="Calibri" w:cs="Calibri" w:eastAsia="Calibri" w:hAnsi="Calibri"/>
          <w:sz w:val="18"/>
          <w:szCs w:val="18"/>
          <w:color w:val="auto"/>
        </w:rPr>
      </w:pPr>
      <w:r>
        <w:rPr>
          <w:rFonts w:ascii="Calibri" w:cs="Calibri" w:eastAsia="Calibri" w:hAnsi="Calibri"/>
          <w:sz w:val="18"/>
          <w:szCs w:val="18"/>
          <w:color w:val="auto"/>
        </w:rPr>
        <w:t>it has full capacity to enter into this transacton and has taken all corporate acton and obtained all consents which it needs to take or obtain in connecton with this transacton; and</w:t>
      </w:r>
    </w:p>
    <w:p>
      <w:pPr>
        <w:spacing w:after="0" w:line="181" w:lineRule="exact"/>
        <w:rPr>
          <w:rFonts w:ascii="Calibri" w:cs="Calibri" w:eastAsia="Calibri" w:hAnsi="Calibri"/>
          <w:sz w:val="18"/>
          <w:szCs w:val="18"/>
          <w:color w:val="auto"/>
        </w:rPr>
      </w:pPr>
    </w:p>
    <w:p>
      <w:pPr>
        <w:ind w:left="1180" w:hanging="591"/>
        <w:spacing w:after="0"/>
        <w:tabs>
          <w:tab w:leader="none" w:pos="1180" w:val="left"/>
        </w:tabs>
        <w:numPr>
          <w:ilvl w:val="1"/>
          <w:numId w:val="479"/>
        </w:numPr>
        <w:rPr>
          <w:rFonts w:ascii="Calibri" w:cs="Calibri" w:eastAsia="Calibri" w:hAnsi="Calibri"/>
          <w:sz w:val="18"/>
          <w:szCs w:val="18"/>
          <w:color w:val="auto"/>
        </w:rPr>
      </w:pPr>
      <w:r>
        <w:rPr>
          <w:rFonts w:ascii="Calibri" w:cs="Calibri" w:eastAsia="Calibri" w:hAnsi="Calibri"/>
          <w:sz w:val="18"/>
          <w:szCs w:val="18"/>
          <w:color w:val="auto"/>
        </w:rPr>
        <w:t>this Certfcate is valid and binding as regards the Transferee; and</w:t>
      </w:r>
    </w:p>
    <w:p>
      <w:pPr>
        <w:spacing w:after="0" w:line="181" w:lineRule="exact"/>
        <w:rPr>
          <w:rFonts w:ascii="Calibri" w:cs="Calibri" w:eastAsia="Calibri" w:hAnsi="Calibri"/>
          <w:sz w:val="18"/>
          <w:szCs w:val="18"/>
          <w:color w:val="auto"/>
        </w:rPr>
      </w:pPr>
    </w:p>
    <w:p>
      <w:pPr>
        <w:ind w:left="580" w:hanging="580"/>
        <w:spacing w:after="0"/>
        <w:tabs>
          <w:tab w:leader="none" w:pos="580" w:val="left"/>
        </w:tabs>
        <w:numPr>
          <w:ilvl w:val="0"/>
          <w:numId w:val="479"/>
        </w:numPr>
        <w:rPr>
          <w:rFonts w:ascii="Calibri" w:cs="Calibri" w:eastAsia="Calibri" w:hAnsi="Calibri"/>
          <w:sz w:val="18"/>
          <w:szCs w:val="18"/>
          <w:color w:val="auto"/>
        </w:rPr>
      </w:pPr>
      <w:r>
        <w:rPr>
          <w:rFonts w:ascii="Calibri" w:cs="Calibri" w:eastAsia="Calibri" w:hAnsi="Calibri"/>
          <w:sz w:val="18"/>
          <w:szCs w:val="18"/>
          <w:color w:val="auto"/>
        </w:rPr>
        <w:t>confrms the accuracy of the administratve details set out below regarding the Transferee.</w:t>
      </w:r>
    </w:p>
    <w:p>
      <w:pPr>
        <w:spacing w:after="0" w:line="183" w:lineRule="exact"/>
        <w:rPr>
          <w:sz w:val="20"/>
          <w:szCs w:val="20"/>
          <w:color w:val="auto"/>
        </w:rPr>
      </w:pPr>
    </w:p>
    <w:p>
      <w:pPr>
        <w:jc w:val="both"/>
        <w:ind w:left="580" w:hanging="580"/>
        <w:spacing w:after="0" w:line="223" w:lineRule="auto"/>
        <w:tabs>
          <w:tab w:leader="none" w:pos="580" w:val="left"/>
        </w:tabs>
        <w:numPr>
          <w:ilvl w:val="0"/>
          <w:numId w:val="480"/>
        </w:numPr>
        <w:rPr>
          <w:rFonts w:ascii="Calibri" w:cs="Calibri" w:eastAsia="Calibri" w:hAnsi="Calibri"/>
          <w:sz w:val="18"/>
          <w:szCs w:val="18"/>
          <w:color w:val="auto"/>
        </w:rPr>
      </w:pPr>
      <w:r>
        <w:rPr>
          <w:rFonts w:ascii="Calibri" w:cs="Calibri" w:eastAsia="Calibri" w:hAnsi="Calibri"/>
          <w:sz w:val="18"/>
          <w:szCs w:val="18"/>
          <w:color w:val="auto"/>
        </w:rPr>
        <w:t>The Transferor and the Transferee each undertake with the Agent, the Mandated Lead Arranger and the Security Trustee severally, on demand, fully to indemnify the Agent and/or the Security Trustee and/or the Mandated Lead Arranger in respect of any claim, proceeding, liability or expense (including all legal expenses) which they or either of them may incur in connecton with this Certfcate or any mater arising out of it, except such as are shown to have been mainly and directly caused by the gross and culpable negligence or dishonesty of</w:t>
      </w:r>
    </w:p>
    <w:p>
      <w:pPr>
        <w:spacing w:after="0" w:line="185" w:lineRule="exact"/>
        <w:rPr>
          <w:sz w:val="20"/>
          <w:szCs w:val="20"/>
          <w:color w:val="auto"/>
        </w:rPr>
      </w:pPr>
    </w:p>
    <w:p>
      <w:pPr>
        <w:jc w:val="both"/>
        <w:ind w:left="5500"/>
        <w:spacing w:after="0"/>
        <w:tabs>
          <w:tab w:leader="none" w:pos="9919" w:val="left"/>
        </w:tabs>
        <w:rPr>
          <w:sz w:val="20"/>
          <w:szCs w:val="20"/>
          <w:color w:val="auto"/>
        </w:rPr>
      </w:pPr>
      <w:r>
        <w:rPr>
          <w:rFonts w:ascii="Times New Roman" w:cs="Times New Roman" w:eastAsia="Times New Roman" w:hAnsi="Times New Roman"/>
          <w:sz w:val="17"/>
          <w:szCs w:val="17"/>
          <w:color w:val="auto"/>
        </w:rPr>
        <w:t>115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58" w:name="page259"/>
    <w:bookmarkEnd w:id="258"/>
    <w:p>
      <w:pPr>
        <w:ind w:left="600"/>
        <w:spacing w:after="0"/>
        <w:rPr>
          <w:sz w:val="20"/>
          <w:szCs w:val="20"/>
          <w:color w:val="auto"/>
        </w:rPr>
      </w:pPr>
      <w:r>
        <w:rPr>
          <w:rFonts w:ascii="Calibri" w:cs="Calibri" w:eastAsia="Calibri" w:hAnsi="Calibri"/>
          <w:sz w:val="18"/>
          <w:szCs w:val="18"/>
          <w:color w:val="auto"/>
        </w:rPr>
        <w:t>the Agent's, any Mandated Lead Arranger's or the Security Trustee's own ofcers or employees.</w:t>
      </w:r>
    </w:p>
    <w:p>
      <w:pPr>
        <w:spacing w:after="0" w:line="183" w:lineRule="exact"/>
        <w:rPr>
          <w:sz w:val="20"/>
          <w:szCs w:val="20"/>
          <w:color w:val="auto"/>
        </w:rPr>
      </w:pPr>
    </w:p>
    <w:p>
      <w:pPr>
        <w:jc w:val="both"/>
        <w:ind w:left="580" w:hanging="580"/>
        <w:spacing w:after="0" w:line="223" w:lineRule="auto"/>
        <w:tabs>
          <w:tab w:leader="none" w:pos="580" w:val="left"/>
        </w:tabs>
        <w:numPr>
          <w:ilvl w:val="0"/>
          <w:numId w:val="481"/>
        </w:numPr>
        <w:rPr>
          <w:rFonts w:ascii="Calibri" w:cs="Calibri" w:eastAsia="Calibri" w:hAnsi="Calibri"/>
          <w:sz w:val="18"/>
          <w:szCs w:val="18"/>
          <w:color w:val="auto"/>
        </w:rPr>
      </w:pPr>
      <w:r>
        <w:rPr>
          <w:rFonts w:ascii="Calibri" w:cs="Calibri" w:eastAsia="Calibri" w:hAnsi="Calibri"/>
          <w:sz w:val="18"/>
          <w:szCs w:val="18"/>
          <w:color w:val="auto"/>
        </w:rPr>
        <w:t>The Transferee shall repay to the Transferor on demand so much of any sum paid by the Transferor under paragraph 10 as exceeds one-half of the amount demanded by the Agent, the Mandated Lead Arranger or the Security Trustee in respect of a claim, proceeding, liability or expense which was not reasonably foreseeable at the date of this Certfcate; but nothing in this paragraph shall afect the liability of each of the Transferor and the Transferee to the Agent, the Mandated Lead Arranger or the Security Trustee for the full amount demanded by it.</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[Name of Transferor]                                                                          [Name of Transferee]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By:                                                                                                               By:</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alibri" w:cs="Calibri" w:eastAsia="Calibri" w:hAnsi="Calibri"/>
          <w:sz w:val="18"/>
          <w:szCs w:val="18"/>
          <w:color w:val="auto"/>
        </w:rPr>
        <w:t>Agent</w:t>
      </w:r>
    </w:p>
    <w:p>
      <w:pPr>
        <w:spacing w:after="0" w:line="218" w:lineRule="auto"/>
        <w:rPr>
          <w:sz w:val="20"/>
          <w:szCs w:val="20"/>
          <w:color w:val="auto"/>
        </w:rPr>
      </w:pPr>
      <w:r>
        <w:rPr>
          <w:rFonts w:ascii="Calibri" w:cs="Calibri" w:eastAsia="Calibri" w:hAnsi="Calibri"/>
          <w:sz w:val="18"/>
          <w:szCs w:val="18"/>
          <w:color w:val="auto"/>
        </w:rPr>
        <w:t>Signed for itself and for and on behalf of itself</w:t>
      </w:r>
    </w:p>
    <w:p>
      <w:pPr>
        <w:spacing w:after="0" w:line="219" w:lineRule="auto"/>
        <w:rPr>
          <w:sz w:val="20"/>
          <w:szCs w:val="20"/>
          <w:color w:val="auto"/>
        </w:rPr>
      </w:pPr>
      <w:r>
        <w:rPr>
          <w:rFonts w:ascii="Calibri" w:cs="Calibri" w:eastAsia="Calibri" w:hAnsi="Calibri"/>
          <w:sz w:val="18"/>
          <w:szCs w:val="18"/>
          <w:color w:val="auto"/>
        </w:rPr>
        <w:t>as Agent and for every other Relevant Party</w:t>
      </w:r>
    </w:p>
    <w:p>
      <w:pPr>
        <w:spacing w:after="0" w:line="219" w:lineRule="auto"/>
        <w:rPr>
          <w:sz w:val="20"/>
          <w:szCs w:val="20"/>
          <w:color w:val="auto"/>
        </w:rPr>
      </w:pPr>
      <w:r>
        <w:rPr>
          <w:rFonts w:ascii="Calibri" w:cs="Calibri" w:eastAsia="Calibri" w:hAnsi="Calibri"/>
          <w:sz w:val="18"/>
          <w:szCs w:val="18"/>
          <w:color w:val="auto"/>
        </w:rPr>
        <w:t>Hamburg Commercial Bank AG</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By:</w:t>
      </w:r>
    </w:p>
    <w:p>
      <w:pPr>
        <w:spacing w:after="0" w:line="218" w:lineRule="auto"/>
        <w:rPr>
          <w:sz w:val="20"/>
          <w:szCs w:val="20"/>
          <w:color w:val="auto"/>
        </w:rPr>
      </w:pPr>
      <w:r>
        <w:rPr>
          <w:rFonts w:ascii="Calibri" w:cs="Calibri" w:eastAsia="Calibri" w:hAnsi="Calibri"/>
          <w:sz w:val="18"/>
          <w:szCs w:val="18"/>
          <w:color w:val="auto"/>
        </w:rPr>
        <w:t>Date:</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428" w:right="339" w:bottom="1440" w:gutter="0" w:footer="0" w:header="0"/>
        </w:sectPr>
      </w:pPr>
    </w:p>
    <w:bookmarkStart w:id="259" w:name="page260"/>
    <w:bookmarkEnd w:id="259"/>
    <w:p>
      <w:pPr>
        <w:jc w:val="center"/>
        <w:spacing w:after="0"/>
        <w:rPr>
          <w:sz w:val="20"/>
          <w:szCs w:val="20"/>
          <w:color w:val="auto"/>
        </w:rPr>
      </w:pPr>
      <w:r>
        <w:rPr>
          <w:rFonts w:ascii="Calibri" w:cs="Calibri" w:eastAsia="Calibri" w:hAnsi="Calibri"/>
          <w:sz w:val="18"/>
          <w:szCs w:val="18"/>
          <w:b w:val="1"/>
          <w:bCs w:val="1"/>
          <w:color w:val="auto"/>
        </w:rPr>
        <w:t>Administratve Details of Transferee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Name of Transferee: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Lending Ofce: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Contact Person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(Loan Administraton Department):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Telephone: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Fax:</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Contact Person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(Credit Administraton Department):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Telephone: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Fax:</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Account for payments: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18"/>
          <w:szCs w:val="18"/>
          <w:color w:val="auto"/>
        </w:rPr>
        <w:t>Notes:</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This Transfer Certfcate alone may not be sufcient to transfer a proportonate share of the Transferor's interest in the security consttuted by the Finance Documents in the Transferor's or Transferee's jurisdicton. It is the responsibility of each Lender to ascertain whether any other documents are required for this purpose.</w:t>
      </w:r>
    </w:p>
    <w:p>
      <w:pPr>
        <w:spacing w:after="0" w:line="18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Paragraph 4 deals with assignment of rights and can be used together with paragraph 5 if the partes have agreed to a combinaton of assignment of rights and transfer of obligatons.</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Paragraph 5 deals with transfer of obligatons and should be removed if the partes have agreed to an assignment only.</w:t>
      </w:r>
    </w:p>
    <w:p>
      <w:pPr>
        <w:spacing w:after="0" w:line="200" w:lineRule="exact"/>
        <w:rPr>
          <w:sz w:val="20"/>
          <w:szCs w:val="20"/>
          <w:color w:val="auto"/>
        </w:rPr>
      </w:pPr>
    </w:p>
    <w:p>
      <w:pPr>
        <w:spacing w:after="0" w:line="3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60" w:name="page261"/>
    <w:bookmarkEnd w:id="260"/>
    <w:p>
      <w:pPr>
        <w:jc w:val="center"/>
        <w:spacing w:after="0"/>
        <w:rPr>
          <w:sz w:val="20"/>
          <w:szCs w:val="20"/>
          <w:color w:val="auto"/>
        </w:rPr>
      </w:pPr>
      <w:r>
        <w:rPr>
          <w:rFonts w:ascii="Calibri" w:cs="Calibri" w:eastAsia="Calibri" w:hAnsi="Calibri"/>
          <w:sz w:val="18"/>
          <w:szCs w:val="18"/>
          <w:b w:val="1"/>
          <w:bCs w:val="1"/>
          <w:color w:val="auto"/>
        </w:rPr>
        <w:t>SCHEDULE 5</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POWER OF ATTORNEY</w:t>
      </w:r>
    </w:p>
    <w:p>
      <w:pPr>
        <w:spacing w:after="0" w:line="183"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Know all men by these presents that </w:t>
      </w:r>
      <w:r>
        <w:rPr>
          <w:rFonts w:ascii="Calibri" w:cs="Calibri" w:eastAsia="Calibri" w:hAnsi="Calibri"/>
          <w:sz w:val="18"/>
          <w:szCs w:val="18"/>
          <w:b w:val="1"/>
          <w:bCs w:val="1"/>
          <w:color w:val="auto"/>
        </w:rPr>
        <w:t>PANORMOS CONTAINER CARRIER S.A.</w:t>
      </w:r>
      <w:r>
        <w:rPr>
          <w:rFonts w:ascii="Calibri" w:cs="Calibri" w:eastAsia="Calibri" w:hAnsi="Calibri"/>
          <w:sz w:val="18"/>
          <w:szCs w:val="18"/>
          <w:color w:val="auto"/>
        </w:rPr>
        <w:t xml:space="preserve">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 corporaton incorporated in the Republic of the Marshall Islands and having its registered address at Trust Company Complex, Ajeltake Road, Ajeltake Island, Majuro MH96960, the Marshall Islands irrevocably and by way of security appoints Hamburg Commercial Bank AG (the "</w:t>
      </w:r>
      <w:r>
        <w:rPr>
          <w:rFonts w:ascii="Calibri" w:cs="Calibri" w:eastAsia="Calibri" w:hAnsi="Calibri"/>
          <w:sz w:val="18"/>
          <w:szCs w:val="18"/>
          <w:b w:val="1"/>
          <w:bCs w:val="1"/>
          <w:color w:val="auto"/>
        </w:rPr>
        <w:t>Atorney</w:t>
      </w:r>
      <w:r>
        <w:rPr>
          <w:rFonts w:ascii="Calibri" w:cs="Calibri" w:eastAsia="Calibri" w:hAnsi="Calibri"/>
          <w:sz w:val="18"/>
          <w:szCs w:val="18"/>
          <w:color w:val="auto"/>
        </w:rPr>
        <w:t>") of Gerhart-Hauptmann-Platz 50, D-20095 Hamburg, Germany its atorney, to act in the name of the Company and to exercise any right, enttlement or power of the Company in relaton to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(the "</w:t>
      </w:r>
      <w:r>
        <w:rPr>
          <w:rFonts w:ascii="Calibri" w:cs="Calibri" w:eastAsia="Calibri" w:hAnsi="Calibri"/>
          <w:sz w:val="18"/>
          <w:szCs w:val="18"/>
          <w:b w:val="1"/>
          <w:bCs w:val="1"/>
          <w:color w:val="auto"/>
        </w:rPr>
        <w:t>Classifcaton Society</w:t>
      </w:r>
      <w:r>
        <w:rPr>
          <w:rFonts w:ascii="Calibri" w:cs="Calibri" w:eastAsia="Calibri" w:hAnsi="Calibri"/>
          <w:sz w:val="18"/>
          <w:szCs w:val="18"/>
          <w:color w:val="auto"/>
        </w:rPr>
        <w:t>") and/or to the classifcaton records of any vessel owned, controlled or operated by the Company including, without limitaton, such powers or enttlement as the Company may have to inspect the class records and any fles held by the Classifcaton Society in relaton to any such vessel and to require the Classifcaton Society to provide to the Atorney or to any of its nominees any informaton, document or fle which the Atorney may request</w:t>
      </w:r>
    </w:p>
    <w:p>
      <w:pPr>
        <w:spacing w:after="0" w:line="291"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b w:val="1"/>
          <w:bCs w:val="1"/>
          <w:color w:val="auto"/>
        </w:rPr>
        <w:t xml:space="preserve">Ratfcaton of actons of atorney. </w:t>
      </w:r>
      <w:r>
        <w:rPr>
          <w:rFonts w:ascii="Calibri" w:cs="Calibri" w:eastAsia="Calibri" w:hAnsi="Calibri"/>
          <w:sz w:val="18"/>
          <w:szCs w:val="18"/>
          <w:color w:val="auto"/>
        </w:rPr>
        <w:t>For the avoidance of doubt and without limitng the generality of the above, it is confrmed that the Company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hereby ratfes any acton which the Atorney takes or purports to take under this Power of Atorney and the Classifcaton Society shall be enttled to rely hereon without further enquiry.</w:t>
      </w:r>
    </w:p>
    <w:p>
      <w:pPr>
        <w:spacing w:after="0" w:line="184"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b w:val="1"/>
          <w:bCs w:val="1"/>
          <w:color w:val="auto"/>
        </w:rPr>
        <w:t xml:space="preserve">Delegaton. </w:t>
      </w:r>
      <w:r>
        <w:rPr>
          <w:rFonts w:ascii="Calibri" w:cs="Calibri" w:eastAsia="Calibri" w:hAnsi="Calibri"/>
          <w:sz w:val="18"/>
          <w:szCs w:val="18"/>
          <w:color w:val="auto"/>
        </w:rPr>
        <w:t>The Atorney may exercise its powers hereunder through any ofcer or through any nominee and/or may sub delegate to any person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persons (including a Receiver and persons designated by him) all or any of the powers (including the discretons) conferred on the Atorney hereunder, and may do so on terms authorising successive sub delegatons.</w:t>
      </w:r>
    </w:p>
    <w:p>
      <w:pPr>
        <w:spacing w:after="0" w:line="2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This Power of Atorney </w:t>
      </w:r>
      <w:r>
        <w:rPr>
          <w:rFonts w:ascii="Calibri" w:cs="Calibri" w:eastAsia="Calibri" w:hAnsi="Calibri"/>
          <w:sz w:val="18"/>
          <w:szCs w:val="18"/>
          <w:color w:val="auto"/>
        </w:rPr>
        <w:t>was executed by the Company as a Deed on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EXECUTED </w:t>
      </w:r>
      <w:r>
        <w:rPr>
          <w:rFonts w:ascii="Calibri" w:cs="Calibri" w:eastAsia="Calibri" w:hAnsi="Calibri"/>
          <w:sz w:val="18"/>
          <w:szCs w:val="18"/>
          <w:color w:val="auto"/>
        </w:rPr>
        <w:t>as a</w:t>
      </w:r>
      <w:r>
        <w:rPr>
          <w:rFonts w:ascii="Calibri" w:cs="Calibri" w:eastAsia="Calibri" w:hAnsi="Calibri"/>
          <w:sz w:val="18"/>
          <w:szCs w:val="18"/>
          <w:b w:val="1"/>
          <w:bCs w:val="1"/>
          <w:color w:val="auto"/>
        </w:rPr>
        <w:t xml:space="preserve"> DEED </w:t>
      </w:r>
      <w:r>
        <w:rPr>
          <w:rFonts w:ascii="Calibri" w:cs="Calibri" w:eastAsia="Calibri" w:hAnsi="Calibri"/>
          <w:sz w:val="18"/>
          <w:szCs w:val="18"/>
          <w:color w:val="auto"/>
        </w:rPr>
        <w:t>by )</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r>
        <w:rPr>
          <w:rFonts w:ascii="Wingdings" w:cs="Wingdings" w:eastAsia="Wingdings" w:hAnsi="Wingdings"/>
          <w:sz w:val="18"/>
          <w:szCs w:val="18"/>
          <w:b w:val="1"/>
          <w:bCs w:val="1"/>
          <w:color w:val="auto"/>
          <w:highlight w:val="black"/>
        </w:rPr>
        <w:t>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t>
      </w:r>
    </w:p>
    <w:p>
      <w:pPr>
        <w:spacing w:after="0" w:line="218" w:lineRule="auto"/>
        <w:rPr>
          <w:sz w:val="20"/>
          <w:szCs w:val="20"/>
          <w:color w:val="auto"/>
        </w:rPr>
      </w:pPr>
      <w:r>
        <w:rPr>
          <w:rFonts w:ascii="Calibri" w:cs="Calibri" w:eastAsia="Calibri" w:hAnsi="Calibri"/>
          <w:sz w:val="18"/>
          <w:szCs w:val="18"/>
          <w:color w:val="auto"/>
        </w:rPr>
        <w:t>actng by )</w:t>
      </w:r>
    </w:p>
    <w:p>
      <w:pPr>
        <w:spacing w:after="0" w:line="219" w:lineRule="auto"/>
        <w:rPr>
          <w:sz w:val="20"/>
          <w:szCs w:val="20"/>
          <w:color w:val="auto"/>
        </w:rPr>
      </w:pPr>
      <w:r>
        <w:rPr>
          <w:rFonts w:ascii="Calibri" w:cs="Calibri" w:eastAsia="Calibri" w:hAnsi="Calibri"/>
          <w:sz w:val="18"/>
          <w:szCs w:val="18"/>
          <w:color w:val="auto"/>
        </w:rPr>
        <w:t>its [President/Secretary )</w:t>
      </w:r>
    </w:p>
    <w:p>
      <w:pPr>
        <w:spacing w:after="0" w:line="219" w:lineRule="auto"/>
        <w:rPr>
          <w:sz w:val="20"/>
          <w:szCs w:val="20"/>
          <w:color w:val="auto"/>
        </w:rPr>
      </w:pPr>
      <w:r>
        <w:rPr>
          <w:rFonts w:ascii="Calibri" w:cs="Calibri" w:eastAsia="Calibri" w:hAnsi="Calibri"/>
          <w:sz w:val="18"/>
          <w:szCs w:val="18"/>
          <w:color w:val="auto"/>
        </w:rPr>
        <w:t>Treasurer] )</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3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118</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61" w:name="page262"/>
    <w:bookmarkEnd w:id="261"/>
    <w:p>
      <w:pPr>
        <w:jc w:val="center"/>
        <w:spacing w:after="0"/>
        <w:rPr>
          <w:sz w:val="20"/>
          <w:szCs w:val="20"/>
          <w:color w:val="auto"/>
        </w:rPr>
      </w:pPr>
      <w:r>
        <w:rPr>
          <w:rFonts w:ascii="Calibri" w:cs="Calibri" w:eastAsia="Calibri" w:hAnsi="Calibri"/>
          <w:sz w:val="18"/>
          <w:szCs w:val="18"/>
          <w:b w:val="1"/>
          <w:bCs w:val="1"/>
          <w:color w:val="auto"/>
        </w:rPr>
        <w:t>SCHEDULE 6</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FORM OF COMPLIANCE CERTIFICATE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To: Hamburg Commercial Bank AG</w:t>
      </w:r>
    </w:p>
    <w:p>
      <w:pPr>
        <w:ind w:left="600"/>
        <w:spacing w:after="0" w:line="218" w:lineRule="auto"/>
        <w:rPr>
          <w:sz w:val="20"/>
          <w:szCs w:val="20"/>
          <w:color w:val="auto"/>
        </w:rPr>
      </w:pPr>
      <w:r>
        <w:rPr>
          <w:rFonts w:ascii="Calibri" w:cs="Calibri" w:eastAsia="Calibri" w:hAnsi="Calibri"/>
          <w:sz w:val="18"/>
          <w:szCs w:val="18"/>
          <w:color w:val="auto"/>
        </w:rPr>
        <w:t>Gerhart-Hauptmann-Platz 50</w:t>
      </w:r>
    </w:p>
    <w:p>
      <w:pPr>
        <w:ind w:left="600"/>
        <w:spacing w:after="0" w:line="219" w:lineRule="auto"/>
        <w:rPr>
          <w:sz w:val="20"/>
          <w:szCs w:val="20"/>
          <w:color w:val="auto"/>
        </w:rPr>
      </w:pPr>
      <w:r>
        <w:rPr>
          <w:rFonts w:ascii="Calibri" w:cs="Calibri" w:eastAsia="Calibri" w:hAnsi="Calibri"/>
          <w:sz w:val="18"/>
          <w:szCs w:val="18"/>
          <w:color w:val="auto"/>
        </w:rPr>
        <w:t>D-20095 Hamburg</w:t>
      </w:r>
    </w:p>
    <w:p>
      <w:pPr>
        <w:ind w:left="600"/>
        <w:spacing w:after="0" w:line="219" w:lineRule="auto"/>
        <w:rPr>
          <w:sz w:val="20"/>
          <w:szCs w:val="20"/>
          <w:color w:val="auto"/>
        </w:rPr>
      </w:pPr>
      <w:r>
        <w:rPr>
          <w:rFonts w:ascii="Calibri" w:cs="Calibri" w:eastAsia="Calibri" w:hAnsi="Calibri"/>
          <w:sz w:val="18"/>
          <w:szCs w:val="18"/>
          <w:color w:val="auto"/>
        </w:rPr>
        <w:t>Germany</w:t>
      </w:r>
    </w:p>
    <w:p>
      <w:pPr>
        <w:ind w:left="600"/>
        <w:spacing w:after="0" w:line="219" w:lineRule="auto"/>
        <w:rPr>
          <w:sz w:val="20"/>
          <w:szCs w:val="20"/>
          <w:color w:val="auto"/>
        </w:rPr>
      </w:pPr>
      <w:r>
        <w:rPr>
          <w:rFonts w:ascii="Calibri" w:cs="Calibri" w:eastAsia="Calibri" w:hAnsi="Calibri"/>
          <w:sz w:val="18"/>
          <w:szCs w:val="18"/>
          <w:color w:val="auto"/>
        </w:rPr>
        <w:t>as Agent</w:t>
      </w:r>
    </w:p>
    <w:p>
      <w:pPr>
        <w:spacing w:after="0" w:line="6" w:lineRule="exact"/>
        <w:rPr>
          <w:sz w:val="20"/>
          <w:szCs w:val="20"/>
          <w:color w:val="auto"/>
        </w:rPr>
      </w:pPr>
    </w:p>
    <w:p>
      <w:pPr>
        <w:ind w:left="10520"/>
        <w:spacing w:after="0"/>
        <w:rPr>
          <w:sz w:val="20"/>
          <w:szCs w:val="20"/>
          <w:color w:val="auto"/>
        </w:rPr>
      </w:pPr>
      <w:r>
        <w:rPr>
          <w:rFonts w:ascii="Calibri" w:cs="Calibri" w:eastAsia="Calibri" w:hAnsi="Calibri"/>
          <w:sz w:val="18"/>
          <w:szCs w:val="18"/>
          <w:color w:val="auto"/>
        </w:rPr>
        <w:t>[</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20[</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Dear Sirs,</w:t>
      </w:r>
    </w:p>
    <w:p>
      <w:pPr>
        <w:spacing w:after="0" w:line="20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We refer to a loan agreement dated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(the "</w:t>
      </w:r>
      <w:r>
        <w:rPr>
          <w:rFonts w:ascii="Calibri" w:cs="Calibri" w:eastAsia="Calibri" w:hAnsi="Calibri"/>
          <w:sz w:val="18"/>
          <w:szCs w:val="18"/>
          <w:b w:val="1"/>
          <w:bCs w:val="1"/>
          <w:color w:val="auto"/>
        </w:rPr>
        <w:t>Loan Agreement</w:t>
      </w:r>
      <w:r>
        <w:rPr>
          <w:rFonts w:ascii="Calibri" w:cs="Calibri" w:eastAsia="Calibri" w:hAnsi="Calibri"/>
          <w:sz w:val="18"/>
          <w:szCs w:val="18"/>
          <w:color w:val="auto"/>
        </w:rPr>
        <w:t>") and made between (amongst others) (i) Hamburg Commercial Bank AG as Agent and (ii) Capital Product Partners L.P. as Borrower in relaton to a term loan facility of up to $105,000,000.</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Words and expressions defned in the Loan Agreement shall have the same meaning when used in this compliance certfcate.</w:t>
      </w:r>
    </w:p>
    <w:p>
      <w:pPr>
        <w:spacing w:after="0" w:line="183" w:lineRule="exact"/>
        <w:rPr>
          <w:sz w:val="20"/>
          <w:szCs w:val="20"/>
          <w:color w:val="auto"/>
        </w:rPr>
      </w:pPr>
    </w:p>
    <w:p>
      <w:pPr>
        <w:jc w:val="both"/>
        <w:spacing w:after="0" w:line="233" w:lineRule="auto"/>
        <w:rPr>
          <w:sz w:val="20"/>
          <w:szCs w:val="20"/>
          <w:color w:val="auto"/>
        </w:rPr>
      </w:pPr>
      <w:r>
        <w:rPr>
          <w:rFonts w:ascii="Calibri" w:cs="Calibri" w:eastAsia="Calibri" w:hAnsi="Calibri"/>
          <w:sz w:val="18"/>
          <w:szCs w:val="18"/>
          <w:color w:val="auto"/>
        </w:rPr>
        <w:t>We enclose with this certfcate a copy of the [unaudited consolidated fnancial statements of the Group for the 3-month period ended [31 March] [30 June][30 September][31 December] 20[</w:t>
      </w:r>
      <w:r>
        <w:rPr>
          <w:rFonts w:ascii="Wingdings" w:cs="Wingdings" w:eastAsia="Wingdings" w:hAnsi="Wingdings"/>
          <w:sz w:val="18"/>
          <w:szCs w:val="18"/>
          <w:b w:val="1"/>
          <w:bCs w:val="1"/>
          <w:color w:val="auto"/>
        </w:rPr>
        <w:t>l</w:t>
      </w:r>
      <w:r>
        <w:rPr>
          <w:rFonts w:ascii="Calibri" w:cs="Calibri" w:eastAsia="Calibri" w:hAnsi="Calibri"/>
          <w:sz w:val="18"/>
          <w:szCs w:val="18"/>
          <w:color w:val="auto"/>
        </w:rPr>
        <w:t>]]/[the audited consolidated annual fnancial statements of the Group for the fnancial year ended 31 December 20[</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The fnancial statements (i) have been prepared in accordance with all applicable laws and GAAP consistently applied, (ii) give a true and fair view of the state of afairs of the Group at the date of the fnancial statements and of its proft for the period to which the fnancial statements relate and (iii) fully disclose or provide for all signifcant liabilites of the Group.</w:t>
      </w:r>
    </w:p>
    <w:p>
      <w:pPr>
        <w:spacing w:after="0" w:line="18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The Borrower and the Owner represent that no Event of Default or Potental Event of Default has occurred as at the date of this certfcate [except for the following mater or event [set out all material details of mater or event]]. In additon as of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the Borrower confrms compliance with the fnancial covenants set out in Clause 12.5 and the security cover rato set out in Clause 15.1, of the Loan Agreement for the [3-month period] [Financial Year] ending on the date of this certfcate.</w:t>
      </w:r>
    </w:p>
    <w:p>
      <w:pPr>
        <w:spacing w:after="0" w:line="208" w:lineRule="exact"/>
        <w:rPr>
          <w:sz w:val="20"/>
          <w:szCs w:val="20"/>
          <w:color w:val="auto"/>
        </w:rPr>
      </w:pPr>
    </w:p>
    <w:p>
      <w:pPr>
        <w:spacing w:after="0"/>
        <w:rPr>
          <w:sz w:val="20"/>
          <w:szCs w:val="20"/>
          <w:color w:val="auto"/>
        </w:rPr>
      </w:pPr>
      <w:r>
        <w:rPr>
          <w:rFonts w:ascii="Calibri" w:cs="Calibri" w:eastAsia="Calibri" w:hAnsi="Calibri"/>
          <w:sz w:val="18"/>
          <w:szCs w:val="18"/>
          <w:color w:val="auto"/>
        </w:rPr>
        <w:t>We now certfy that, on the basis of the calculatons appended to this Certfcate, as at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w:t>
      </w:r>
    </w:p>
    <w:p>
      <w:pPr>
        <w:spacing w:after="0" w:line="181" w:lineRule="exact"/>
        <w:rPr>
          <w:sz w:val="20"/>
          <w:szCs w:val="20"/>
          <w:color w:val="auto"/>
        </w:rPr>
      </w:pPr>
    </w:p>
    <w:p>
      <w:pPr>
        <w:ind w:left="580" w:hanging="580"/>
        <w:spacing w:after="0"/>
        <w:tabs>
          <w:tab w:leader="none" w:pos="580" w:val="left"/>
        </w:tabs>
        <w:numPr>
          <w:ilvl w:val="0"/>
          <w:numId w:val="482"/>
        </w:numPr>
        <w:rPr>
          <w:rFonts w:ascii="Calibri" w:cs="Calibri" w:eastAsia="Calibri" w:hAnsi="Calibri"/>
          <w:sz w:val="18"/>
          <w:szCs w:val="18"/>
          <w:color w:val="auto"/>
        </w:rPr>
      </w:pPr>
      <w:r>
        <w:rPr>
          <w:rFonts w:ascii="Calibri" w:cs="Calibri" w:eastAsia="Calibri" w:hAnsi="Calibri"/>
          <w:sz w:val="18"/>
          <w:szCs w:val="18"/>
          <w:color w:val="auto"/>
        </w:rPr>
        <w:t>the Leverage Rato of the Borrower is less than 75 per cent.;</w:t>
      </w:r>
    </w:p>
    <w:p>
      <w:pPr>
        <w:spacing w:after="0" w:line="183" w:lineRule="exact"/>
        <w:rPr>
          <w:rFonts w:ascii="Calibri" w:cs="Calibri" w:eastAsia="Calibri" w:hAnsi="Calibri"/>
          <w:sz w:val="18"/>
          <w:szCs w:val="18"/>
          <w:color w:val="auto"/>
        </w:rPr>
      </w:pPr>
    </w:p>
    <w:p>
      <w:pPr>
        <w:jc w:val="both"/>
        <w:ind w:left="580" w:hanging="580"/>
        <w:spacing w:after="0" w:line="234" w:lineRule="auto"/>
        <w:tabs>
          <w:tab w:leader="none" w:pos="580" w:val="left"/>
        </w:tabs>
        <w:numPr>
          <w:ilvl w:val="0"/>
          <w:numId w:val="482"/>
        </w:numPr>
        <w:rPr>
          <w:rFonts w:ascii="Calibri" w:cs="Calibri" w:eastAsia="Calibri" w:hAnsi="Calibri"/>
          <w:sz w:val="18"/>
          <w:szCs w:val="18"/>
          <w:color w:val="auto"/>
        </w:rPr>
      </w:pPr>
      <w:r>
        <w:rPr>
          <w:rFonts w:ascii="Calibri" w:cs="Calibri" w:eastAsia="Calibri" w:hAnsi="Calibri"/>
          <w:sz w:val="18"/>
          <w:szCs w:val="18"/>
          <w:color w:val="auto"/>
        </w:rPr>
        <w:t>the aggregate amount of immediately freely available and unencumbered bank or cash deposits held by the Borrower and the other members of the Group is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(representng an amount [equal to] [in excess of] the product of $500,000 and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being the number of Fleet Vessels as at the last day of the fnancial period to which the fnancial statements of the Borrower atached to this certfcate relate);</w:t>
      </w:r>
    </w:p>
    <w:p>
      <w:pPr>
        <w:spacing w:after="0" w:line="206" w:lineRule="exact"/>
        <w:rPr>
          <w:rFonts w:ascii="Calibri" w:cs="Calibri" w:eastAsia="Calibri" w:hAnsi="Calibri"/>
          <w:sz w:val="18"/>
          <w:szCs w:val="18"/>
          <w:color w:val="auto"/>
        </w:rPr>
      </w:pPr>
    </w:p>
    <w:p>
      <w:pPr>
        <w:ind w:left="580" w:hanging="580"/>
        <w:spacing w:after="0"/>
        <w:tabs>
          <w:tab w:leader="none" w:pos="580" w:val="left"/>
        </w:tabs>
        <w:numPr>
          <w:ilvl w:val="0"/>
          <w:numId w:val="482"/>
        </w:numPr>
        <w:rPr>
          <w:rFonts w:ascii="Calibri" w:cs="Calibri" w:eastAsia="Calibri" w:hAnsi="Calibri"/>
          <w:sz w:val="18"/>
          <w:szCs w:val="18"/>
          <w:color w:val="auto"/>
        </w:rPr>
      </w:pPr>
      <w:r>
        <w:rPr>
          <w:rFonts w:ascii="Calibri" w:cs="Calibri" w:eastAsia="Calibri" w:hAnsi="Calibri"/>
          <w:sz w:val="18"/>
          <w:szCs w:val="18"/>
          <w:color w:val="auto"/>
        </w:rPr>
        <w:t>the rato of EBITDA to Net Interest Expense is no less than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]:1; and</w:t>
      </w:r>
    </w:p>
    <w:p>
      <w:pPr>
        <w:spacing w:after="0" w:line="206" w:lineRule="exact"/>
        <w:rPr>
          <w:rFonts w:ascii="Calibri" w:cs="Calibri" w:eastAsia="Calibri" w:hAnsi="Calibri"/>
          <w:sz w:val="18"/>
          <w:szCs w:val="18"/>
          <w:color w:val="auto"/>
        </w:rPr>
      </w:pPr>
    </w:p>
    <w:p>
      <w:pPr>
        <w:ind w:left="580" w:hanging="580"/>
        <w:spacing w:after="0"/>
        <w:tabs>
          <w:tab w:leader="none" w:pos="580" w:val="left"/>
        </w:tabs>
        <w:numPr>
          <w:ilvl w:val="0"/>
          <w:numId w:val="482"/>
        </w:numPr>
        <w:rPr>
          <w:rFonts w:ascii="Calibri" w:cs="Calibri" w:eastAsia="Calibri" w:hAnsi="Calibri"/>
          <w:sz w:val="18"/>
          <w:szCs w:val="18"/>
          <w:color w:val="auto"/>
        </w:rPr>
      </w:pPr>
      <w:r>
        <w:rPr>
          <w:rFonts w:ascii="Calibri" w:cs="Calibri" w:eastAsia="Calibri" w:hAnsi="Calibri"/>
          <w:sz w:val="18"/>
          <w:szCs w:val="18"/>
          <w:color w:val="auto"/>
        </w:rPr>
        <w:t>the Security Cover Rato is [</w:t>
      </w:r>
      <w:r>
        <w:rPr>
          <w:rFonts w:ascii="Wingdings" w:cs="Wingdings" w:eastAsia="Wingdings" w:hAnsi="Wingdings"/>
          <w:sz w:val="18"/>
          <w:szCs w:val="18"/>
          <w:b w:val="1"/>
          <w:bCs w:val="1"/>
          <w:color w:val="auto"/>
        </w:rPr>
        <w:t>l</w:t>
      </w:r>
      <w:r>
        <w:rPr>
          <w:rFonts w:ascii="Calibri" w:cs="Calibri" w:eastAsia="Calibri" w:hAnsi="Calibri"/>
          <w:sz w:val="18"/>
          <w:szCs w:val="18"/>
          <w:color w:val="auto"/>
        </w:rPr>
        <w:t>] per cent..</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119</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62" w:name="page263"/>
    <w:bookmarkEnd w:id="262"/>
    <w:p>
      <w:pPr>
        <w:spacing w:after="0"/>
        <w:rPr>
          <w:sz w:val="20"/>
          <w:szCs w:val="20"/>
          <w:color w:val="auto"/>
        </w:rPr>
      </w:pPr>
      <w:r>
        <w:rPr>
          <w:rFonts w:ascii="Calibri" w:cs="Calibri" w:eastAsia="Calibri" w:hAnsi="Calibri"/>
          <w:sz w:val="18"/>
          <w:szCs w:val="18"/>
          <w:color w:val="auto"/>
        </w:rPr>
        <w:t>This certfcate shall be governed by, and construed in accordance with, English law.</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w:t>
      </w:r>
    </w:p>
    <w:p>
      <w:pPr>
        <w:spacing w:after="0" w:line="218" w:lineRule="auto"/>
        <w:rPr>
          <w:sz w:val="20"/>
          <w:szCs w:val="20"/>
          <w:color w:val="auto"/>
        </w:rPr>
      </w:pPr>
      <w:r>
        <w:rPr>
          <w:rFonts w:ascii="Calibri" w:cs="Calibri" w:eastAsia="Calibri" w:hAnsi="Calibri"/>
          <w:sz w:val="18"/>
          <w:szCs w:val="18"/>
          <w:color w:val="auto"/>
        </w:rPr>
        <w:t>for and on behalf of</w:t>
      </w:r>
    </w:p>
    <w:p>
      <w:pPr>
        <w:spacing w:after="0" w:line="219" w:lineRule="auto"/>
        <w:rPr>
          <w:sz w:val="20"/>
          <w:szCs w:val="20"/>
          <w:color w:val="auto"/>
        </w:rPr>
      </w:pPr>
      <w:r>
        <w:rPr>
          <w:rFonts w:ascii="Calibri" w:cs="Calibri" w:eastAsia="Calibri" w:hAnsi="Calibri"/>
          <w:sz w:val="18"/>
          <w:szCs w:val="18"/>
          <w:b w:val="1"/>
          <w:bCs w:val="1"/>
          <w:color w:val="auto"/>
        </w:rPr>
        <w:t>CAPITAL PRODUCT PARTNERS L.P.</w:t>
      </w:r>
    </w:p>
    <w:p>
      <w:pPr>
        <w:spacing w:after="0" w:line="3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120</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28" w:right="339" w:bottom="1440" w:gutter="0" w:footer="0" w:header="0"/>
        </w:sectPr>
      </w:pPr>
    </w:p>
    <w:bookmarkStart w:id="263" w:name="page264"/>
    <w:bookmarkEnd w:id="263"/>
    <w:tbl>
      <w:tblPr>
        <w:tblLayout w:type="fixed"/>
        <w:tblInd w:w="10" w:type="dxa"/>
        <w:tblCellMar>
          <w:top w:w="0" w:type="dxa"/>
          <w:left w:w="0" w:type="dxa"/>
          <w:bottom w:w="0" w:type="dxa"/>
          <w:right w:w="0" w:type="dxa"/>
        </w:tblCellMar>
      </w:tblPr>
      <w:tr>
        <w:trPr>
          <w:trHeight w:val="220"/>
        </w:trPr>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60" w:type="dxa"/>
            <w:vAlign w:val="bottom"/>
          </w:tcPr>
          <w:p>
            <w:pPr>
              <w:jc w:val="center"/>
              <w:ind w:right="2089"/>
              <w:spacing w:after="0"/>
              <w:rPr>
                <w:sz w:val="20"/>
                <w:szCs w:val="20"/>
                <w:color w:val="auto"/>
              </w:rPr>
            </w:pPr>
            <w:r>
              <w:rPr>
                <w:rFonts w:ascii="Calibri" w:cs="Calibri" w:eastAsia="Calibri" w:hAnsi="Calibri"/>
                <w:sz w:val="18"/>
                <w:szCs w:val="18"/>
                <w:b w:val="1"/>
                <w:bCs w:val="1"/>
                <w:color w:val="auto"/>
              </w:rPr>
              <w:t>SCHEDULE 7</w:t>
            </w: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60" w:type="dxa"/>
            <w:vAlign w:val="bottom"/>
          </w:tcPr>
          <w:p>
            <w:pPr>
              <w:jc w:val="center"/>
              <w:ind w:right="2069"/>
              <w:spacing w:after="0"/>
              <w:rPr>
                <w:sz w:val="20"/>
                <w:szCs w:val="20"/>
                <w:color w:val="auto"/>
              </w:rPr>
            </w:pPr>
            <w:r>
              <w:rPr>
                <w:rFonts w:ascii="Calibri" w:cs="Calibri" w:eastAsia="Calibri" w:hAnsi="Calibri"/>
                <w:sz w:val="18"/>
                <w:szCs w:val="18"/>
                <w:b w:val="1"/>
                <w:bCs w:val="1"/>
                <w:color w:val="auto"/>
              </w:rPr>
              <w:t>REFERENCE RATE TERMS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ind w:left="20"/>
              <w:spacing w:after="0" w:line="214" w:lineRule="exact"/>
              <w:rPr>
                <w:sz w:val="20"/>
                <w:szCs w:val="20"/>
                <w:color w:val="auto"/>
              </w:rPr>
            </w:pPr>
            <w:r>
              <w:rPr>
                <w:rFonts w:ascii="Calibri" w:cs="Calibri" w:eastAsia="Calibri" w:hAnsi="Calibri"/>
                <w:sz w:val="18"/>
                <w:szCs w:val="18"/>
                <w:b w:val="1"/>
                <w:bCs w:val="1"/>
                <w:i w:val="1"/>
                <w:iCs w:val="1"/>
                <w:color w:val="auto"/>
              </w:rPr>
              <w:t>Currency:</w:t>
            </w:r>
          </w:p>
        </w:tc>
        <w:tc>
          <w:tcPr>
            <w:tcW w:w="1000" w:type="dxa"/>
            <w:vAlign w:val="bottom"/>
            <w:tcBorders>
              <w:bottom w:val="single" w:sz="8" w:color="auto"/>
            </w:tcBorders>
          </w:tcPr>
          <w:p>
            <w:pPr>
              <w:spacing w:after="0" w:line="214" w:lineRule="exact"/>
              <w:rPr>
                <w:sz w:val="20"/>
                <w:szCs w:val="20"/>
                <w:color w:val="auto"/>
              </w:rPr>
            </w:pPr>
            <w:r>
              <w:rPr>
                <w:rFonts w:ascii="Calibri" w:cs="Calibri" w:eastAsia="Calibri" w:hAnsi="Calibri"/>
                <w:sz w:val="18"/>
                <w:szCs w:val="18"/>
                <w:color w:val="auto"/>
              </w:rPr>
              <w:t>Dollars.</w:t>
            </w:r>
          </w:p>
        </w:tc>
        <w:tc>
          <w:tcPr>
            <w:tcW w:w="78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bottom w:val="single" w:sz="8" w:color="auto"/>
              <w:right w:val="single" w:sz="8" w:color="auto"/>
            </w:tcBorders>
          </w:tcPr>
          <w:p>
            <w:pPr>
              <w:ind w:left="20"/>
              <w:spacing w:after="0" w:line="217" w:lineRule="exact"/>
              <w:rPr>
                <w:sz w:val="20"/>
                <w:szCs w:val="20"/>
                <w:color w:val="auto"/>
              </w:rPr>
            </w:pPr>
            <w:r>
              <w:rPr>
                <w:rFonts w:ascii="Calibri" w:cs="Calibri" w:eastAsia="Calibri" w:hAnsi="Calibri"/>
                <w:sz w:val="18"/>
                <w:szCs w:val="18"/>
                <w:b w:val="1"/>
                <w:bCs w:val="1"/>
                <w:i w:val="1"/>
                <w:iCs w:val="1"/>
                <w:color w:val="auto"/>
              </w:rPr>
              <w:t>Cost of funds as a fallback</w:t>
            </w:r>
          </w:p>
        </w:tc>
        <w:tc>
          <w:tcPr>
            <w:tcW w:w="6640" w:type="dxa"/>
            <w:vAlign w:val="bottom"/>
            <w:tcBorders>
              <w:bottom w:val="single" w:sz="8" w:color="auto"/>
            </w:tcBorders>
            <w:gridSpan w:val="3"/>
          </w:tcPr>
          <w:p>
            <w:pPr>
              <w:spacing w:after="0" w:line="217" w:lineRule="exact"/>
              <w:rPr>
                <w:sz w:val="20"/>
                <w:szCs w:val="20"/>
                <w:color w:val="auto"/>
              </w:rPr>
            </w:pPr>
            <w:r>
              <w:rPr>
                <w:rFonts w:ascii="Calibri" w:cs="Calibri" w:eastAsia="Calibri" w:hAnsi="Calibri"/>
                <w:sz w:val="18"/>
                <w:szCs w:val="18"/>
                <w:color w:val="auto"/>
              </w:rPr>
              <w:t>Cost of funds will apply as a fallback.</w:t>
            </w: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bottom w:val="single" w:sz="8" w:color="auto"/>
              <w:right w:val="single" w:sz="8" w:color="auto"/>
            </w:tcBorders>
          </w:tcPr>
          <w:p>
            <w:pPr>
              <w:ind w:left="20"/>
              <w:spacing w:after="0" w:line="217" w:lineRule="exact"/>
              <w:rPr>
                <w:sz w:val="20"/>
                <w:szCs w:val="20"/>
                <w:color w:val="auto"/>
              </w:rPr>
            </w:pPr>
            <w:r>
              <w:rPr>
                <w:rFonts w:ascii="Calibri" w:cs="Calibri" w:eastAsia="Calibri" w:hAnsi="Calibri"/>
                <w:sz w:val="18"/>
                <w:szCs w:val="18"/>
                <w:b w:val="1"/>
                <w:bCs w:val="1"/>
                <w:i w:val="1"/>
                <w:iCs w:val="1"/>
                <w:color w:val="auto"/>
              </w:rPr>
              <w:t>Defnitons</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ind w:left="20"/>
              <w:spacing w:after="0" w:line="214" w:lineRule="exact"/>
              <w:rPr>
                <w:sz w:val="20"/>
                <w:szCs w:val="20"/>
                <w:color w:val="auto"/>
              </w:rPr>
            </w:pPr>
            <w:r>
              <w:rPr>
                <w:rFonts w:ascii="Calibri" w:cs="Calibri" w:eastAsia="Calibri" w:hAnsi="Calibri"/>
                <w:sz w:val="18"/>
                <w:szCs w:val="18"/>
                <w:b w:val="1"/>
                <w:bCs w:val="1"/>
                <w:color w:val="auto"/>
              </w:rPr>
              <w:t>Additonal Business Days:</w:t>
            </w:r>
          </w:p>
        </w:tc>
        <w:tc>
          <w:tcPr>
            <w:tcW w:w="1780" w:type="dxa"/>
            <w:vAlign w:val="bottom"/>
            <w:tcBorders>
              <w:bottom w:val="single" w:sz="8" w:color="auto"/>
            </w:tcBorders>
            <w:gridSpan w:val="2"/>
          </w:tcPr>
          <w:p>
            <w:pPr>
              <w:spacing w:after="0" w:line="214" w:lineRule="exact"/>
              <w:rPr>
                <w:sz w:val="20"/>
                <w:szCs w:val="20"/>
                <w:color w:val="auto"/>
              </w:rPr>
            </w:pPr>
            <w:r>
              <w:rPr>
                <w:rFonts w:ascii="Calibri" w:cs="Calibri" w:eastAsia="Calibri" w:hAnsi="Calibri"/>
                <w:sz w:val="18"/>
                <w:szCs w:val="18"/>
                <w:color w:val="auto"/>
              </w:rPr>
              <w:t>An RFR Banking Day.</w:t>
            </w:r>
          </w:p>
        </w:tc>
        <w:tc>
          <w:tcPr>
            <w:tcW w:w="48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tcPr>
          <w:p>
            <w:pPr>
              <w:ind w:left="20"/>
              <w:spacing w:after="0" w:line="202" w:lineRule="exact"/>
              <w:rPr>
                <w:sz w:val="20"/>
                <w:szCs w:val="20"/>
                <w:color w:val="auto"/>
              </w:rPr>
            </w:pPr>
            <w:r>
              <w:rPr>
                <w:rFonts w:ascii="Calibri" w:cs="Calibri" w:eastAsia="Calibri" w:hAnsi="Calibri"/>
                <w:sz w:val="18"/>
                <w:szCs w:val="18"/>
                <w:b w:val="1"/>
                <w:bCs w:val="1"/>
                <w:color w:val="auto"/>
              </w:rPr>
              <w:t>Break Costs:</w:t>
            </w:r>
          </w:p>
        </w:tc>
        <w:tc>
          <w:tcPr>
            <w:tcW w:w="8760" w:type="dxa"/>
            <w:vAlign w:val="bottom"/>
            <w:tcBorders>
              <w:right w:val="single" w:sz="8" w:color="auto"/>
            </w:tcBorders>
            <w:gridSpan w:val="4"/>
          </w:tcPr>
          <w:p>
            <w:pPr>
              <w:spacing w:after="0" w:line="202" w:lineRule="exact"/>
              <w:rPr>
                <w:sz w:val="20"/>
                <w:szCs w:val="20"/>
                <w:color w:val="auto"/>
              </w:rPr>
            </w:pPr>
            <w:r>
              <w:rPr>
                <w:rFonts w:ascii="Calibri" w:cs="Calibri" w:eastAsia="Calibri" w:hAnsi="Calibri"/>
                <w:sz w:val="18"/>
                <w:szCs w:val="18"/>
                <w:color w:val="auto"/>
              </w:rPr>
              <w:t>Any cost or amount which is incurred or sufered by a Lender to the extent that it is atributable to a payment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4"/>
          </w:tcPr>
          <w:p>
            <w:pPr>
              <w:spacing w:after="0" w:line="217" w:lineRule="exact"/>
              <w:rPr>
                <w:sz w:val="20"/>
                <w:szCs w:val="20"/>
                <w:color w:val="auto"/>
              </w:rPr>
            </w:pPr>
            <w:r>
              <w:rPr>
                <w:rFonts w:ascii="Calibri" w:cs="Calibri" w:eastAsia="Calibri" w:hAnsi="Calibri"/>
                <w:sz w:val="18"/>
                <w:szCs w:val="18"/>
                <w:color w:val="auto"/>
              </w:rPr>
              <w:t>the Borrower to the Agent of any amount of principal due or which would have become due under this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4"/>
          </w:tcPr>
          <w:p>
            <w:pPr>
              <w:spacing w:after="0"/>
              <w:rPr>
                <w:sz w:val="20"/>
                <w:szCs w:val="20"/>
                <w:color w:val="auto"/>
              </w:rPr>
            </w:pPr>
            <w:r>
              <w:rPr>
                <w:rFonts w:ascii="Calibri" w:cs="Calibri" w:eastAsia="Calibri" w:hAnsi="Calibri"/>
                <w:sz w:val="18"/>
                <w:szCs w:val="18"/>
                <w:color w:val="auto"/>
              </w:rPr>
              <w:t>prior to the date upon which such amount should have been repaid in accordance with the terms and conditons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780" w:type="dxa"/>
            <w:vAlign w:val="bottom"/>
            <w:gridSpan w:val="2"/>
          </w:tcPr>
          <w:p>
            <w:pPr>
              <w:spacing w:after="0"/>
              <w:rPr>
                <w:sz w:val="20"/>
                <w:szCs w:val="20"/>
                <w:color w:val="auto"/>
              </w:rPr>
            </w:pPr>
            <w:r>
              <w:rPr>
                <w:rFonts w:ascii="Calibri" w:cs="Calibri" w:eastAsia="Calibri" w:hAnsi="Calibri"/>
                <w:sz w:val="18"/>
                <w:szCs w:val="18"/>
                <w:color w:val="auto"/>
              </w:rPr>
              <w:t>of this Agreement.</w:t>
            </w:r>
          </w:p>
        </w:tc>
        <w:tc>
          <w:tcPr>
            <w:tcW w:w="486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760" w:type="dxa"/>
            <w:vAlign w:val="bottom"/>
            <w:tcBorders>
              <w:bottom w:val="single" w:sz="8" w:color="auto"/>
              <w:righ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Central Bank Rate:</w:t>
            </w:r>
          </w:p>
        </w:tc>
        <w:tc>
          <w:tcPr>
            <w:tcW w:w="1000" w:type="dxa"/>
            <w:vAlign w:val="bottom"/>
          </w:tcPr>
          <w:p>
            <w:pPr>
              <w:ind w:left="600"/>
              <w:spacing w:after="0" w:line="195" w:lineRule="exact"/>
              <w:rPr>
                <w:sz w:val="20"/>
                <w:szCs w:val="20"/>
                <w:color w:val="auto"/>
              </w:rPr>
            </w:pPr>
            <w:r>
              <w:rPr>
                <w:rFonts w:ascii="Calibri" w:cs="Calibri" w:eastAsia="Calibri" w:hAnsi="Calibri"/>
                <w:sz w:val="18"/>
                <w:szCs w:val="18"/>
                <w:color w:val="auto"/>
              </w:rPr>
              <w:t>(a)</w:t>
            </w:r>
          </w:p>
        </w:tc>
        <w:tc>
          <w:tcPr>
            <w:tcW w:w="7760" w:type="dxa"/>
            <w:vAlign w:val="bottom"/>
            <w:tcBorders>
              <w:right w:val="single" w:sz="8" w:color="auto"/>
            </w:tcBorders>
            <w:gridSpan w:val="3"/>
          </w:tcPr>
          <w:p>
            <w:pPr>
              <w:ind w:left="280"/>
              <w:spacing w:after="0" w:line="195" w:lineRule="exact"/>
              <w:rPr>
                <w:sz w:val="20"/>
                <w:szCs w:val="20"/>
                <w:color w:val="auto"/>
              </w:rPr>
            </w:pPr>
            <w:r>
              <w:rPr>
                <w:rFonts w:ascii="Calibri" w:cs="Calibri" w:eastAsia="Calibri" w:hAnsi="Calibri"/>
                <w:sz w:val="18"/>
                <w:szCs w:val="18"/>
                <w:color w:val="auto"/>
              </w:rPr>
              <w:t>The short-term interest rate target set by the US Federal Open Market Commitee as published by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5640" w:type="dxa"/>
            <w:vAlign w:val="bottom"/>
            <w:gridSpan w:val="2"/>
          </w:tcPr>
          <w:p>
            <w:pPr>
              <w:ind w:left="200"/>
              <w:spacing w:after="0" w:line="217" w:lineRule="exact"/>
              <w:rPr>
                <w:sz w:val="20"/>
                <w:szCs w:val="20"/>
                <w:color w:val="auto"/>
              </w:rPr>
            </w:pPr>
            <w:r>
              <w:rPr>
                <w:rFonts w:ascii="Calibri" w:cs="Calibri" w:eastAsia="Calibri" w:hAnsi="Calibri"/>
                <w:sz w:val="18"/>
                <w:szCs w:val="18"/>
                <w:color w:val="auto"/>
              </w:rPr>
              <w:t>the Federal Reserve Bank of New York from tme to tme; or</w:t>
            </w:r>
          </w:p>
        </w:tc>
        <w:tc>
          <w:tcPr>
            <w:tcW w:w="2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ind w:left="600"/>
              <w:spacing w:after="0"/>
              <w:rPr>
                <w:sz w:val="20"/>
                <w:szCs w:val="20"/>
                <w:color w:val="auto"/>
              </w:rPr>
            </w:pPr>
            <w:r>
              <w:rPr>
                <w:rFonts w:ascii="Calibri" w:cs="Calibri" w:eastAsia="Calibri" w:hAnsi="Calibri"/>
                <w:sz w:val="18"/>
                <w:szCs w:val="18"/>
                <w:color w:val="auto"/>
              </w:rPr>
              <w:t>(b)</w:t>
            </w:r>
          </w:p>
        </w:tc>
        <w:tc>
          <w:tcPr>
            <w:tcW w:w="5640" w:type="dxa"/>
            <w:vAlign w:val="bottom"/>
            <w:gridSpan w:val="2"/>
          </w:tcPr>
          <w:p>
            <w:pPr>
              <w:ind w:left="280"/>
              <w:spacing w:after="0"/>
              <w:rPr>
                <w:sz w:val="20"/>
                <w:szCs w:val="20"/>
                <w:color w:val="auto"/>
              </w:rPr>
            </w:pPr>
            <w:r>
              <w:rPr>
                <w:rFonts w:ascii="Calibri" w:cs="Calibri" w:eastAsia="Calibri" w:hAnsi="Calibri"/>
                <w:sz w:val="18"/>
                <w:szCs w:val="18"/>
                <w:color w:val="auto"/>
              </w:rPr>
              <w:t>if that target is not a single fgure, the arithmetc mean of:</w:t>
            </w: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Calibri" w:cs="Calibri" w:eastAsia="Calibri" w:hAnsi="Calibri"/>
                <w:sz w:val="18"/>
                <w:szCs w:val="18"/>
                <w:color w:val="auto"/>
              </w:rPr>
              <w:t>(i)</w:t>
            </w:r>
          </w:p>
        </w:tc>
        <w:tc>
          <w:tcPr>
            <w:tcW w:w="6980" w:type="dxa"/>
            <w:vAlign w:val="bottom"/>
            <w:tcBorders>
              <w:right w:val="single" w:sz="8" w:color="auto"/>
            </w:tcBorders>
            <w:gridSpan w:val="2"/>
          </w:tcPr>
          <w:p>
            <w:pPr>
              <w:ind w:left="140"/>
              <w:spacing w:after="0"/>
              <w:rPr>
                <w:sz w:val="20"/>
                <w:szCs w:val="20"/>
                <w:color w:val="auto"/>
              </w:rPr>
            </w:pPr>
            <w:r>
              <w:rPr>
                <w:rFonts w:ascii="Calibri" w:cs="Calibri" w:eastAsia="Calibri" w:hAnsi="Calibri"/>
                <w:sz w:val="18"/>
                <w:szCs w:val="18"/>
                <w:color w:val="auto"/>
              </w:rPr>
              <w:t>the upper bound of the short-term interest rate target range set by the US Federal Open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98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8"/>
                <w:szCs w:val="18"/>
                <w:color w:val="auto"/>
              </w:rPr>
              <w:t>Market Commitee and published by the Federal Reserve Bank of New York; and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Calibri" w:cs="Calibri" w:eastAsia="Calibri" w:hAnsi="Calibri"/>
                <w:sz w:val="18"/>
                <w:szCs w:val="18"/>
                <w:color w:val="auto"/>
              </w:rPr>
              <w:t>(ii)</w:t>
            </w:r>
          </w:p>
        </w:tc>
        <w:tc>
          <w:tcPr>
            <w:tcW w:w="4860" w:type="dxa"/>
            <w:vAlign w:val="bottom"/>
          </w:tcPr>
          <w:p>
            <w:pPr>
              <w:ind w:left="120"/>
              <w:spacing w:after="0"/>
              <w:rPr>
                <w:sz w:val="20"/>
                <w:szCs w:val="20"/>
                <w:color w:val="auto"/>
              </w:rPr>
            </w:pPr>
            <w:r>
              <w:rPr>
                <w:rFonts w:ascii="Calibri" w:cs="Calibri" w:eastAsia="Calibri" w:hAnsi="Calibri"/>
                <w:sz w:val="18"/>
                <w:szCs w:val="18"/>
                <w:color w:val="auto"/>
              </w:rPr>
              <w:t>the lower bound of that target range.</w:t>
            </w: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Central Bank Rate Adjustment:</w:t>
            </w:r>
          </w:p>
        </w:tc>
        <w:tc>
          <w:tcPr>
            <w:tcW w:w="8760" w:type="dxa"/>
            <w:vAlign w:val="bottom"/>
            <w:tcBorders>
              <w:right w:val="single" w:sz="8" w:color="auto"/>
            </w:tcBorders>
            <w:gridSpan w:val="4"/>
          </w:tcPr>
          <w:p>
            <w:pPr>
              <w:spacing w:after="0" w:line="195" w:lineRule="exact"/>
              <w:rPr>
                <w:sz w:val="20"/>
                <w:szCs w:val="20"/>
                <w:color w:val="auto"/>
              </w:rPr>
            </w:pPr>
            <w:r>
              <w:rPr>
                <w:rFonts w:ascii="Calibri" w:cs="Calibri" w:eastAsia="Calibri" w:hAnsi="Calibri"/>
                <w:sz w:val="18"/>
                <w:szCs w:val="18"/>
                <w:color w:val="auto"/>
              </w:rPr>
              <w:t>In relaton to the Central Bank Rate prevailing at close of business on any RFR Banking Day, the arithmetc mean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4"/>
          </w:tcPr>
          <w:p>
            <w:pPr>
              <w:spacing w:after="0" w:line="217" w:lineRule="exact"/>
              <w:rPr>
                <w:sz w:val="20"/>
                <w:szCs w:val="20"/>
                <w:color w:val="auto"/>
              </w:rPr>
            </w:pPr>
            <w:r>
              <w:rPr>
                <w:rFonts w:ascii="Calibri" w:cs="Calibri" w:eastAsia="Calibri" w:hAnsi="Calibri"/>
                <w:sz w:val="18"/>
                <w:szCs w:val="18"/>
                <w:color w:val="auto"/>
              </w:rPr>
              <w:t>(calculated by the Agent or by any other Creditor Party which agrees to make the calculaton in place of the Agent)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4"/>
          </w:tcPr>
          <w:p>
            <w:pPr>
              <w:spacing w:after="0"/>
              <w:rPr>
                <w:sz w:val="20"/>
                <w:szCs w:val="20"/>
                <w:color w:val="auto"/>
              </w:rPr>
            </w:pPr>
            <w:r>
              <w:rPr>
                <w:rFonts w:ascii="Calibri" w:cs="Calibri" w:eastAsia="Calibri" w:hAnsi="Calibri"/>
                <w:sz w:val="18"/>
                <w:szCs w:val="18"/>
                <w:color w:val="auto"/>
              </w:rPr>
              <w:t>of the Central Bank Rate Spreads for the fve most immediately preceding RFR Banking Days for which the RFR 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20"/>
                <w:szCs w:val="20"/>
                <w:color w:val="auto"/>
              </w:rPr>
            </w:pPr>
            <w:r>
              <w:rPr>
                <w:rFonts w:ascii="Calibri" w:cs="Calibri" w:eastAsia="Calibri" w:hAnsi="Calibri"/>
                <w:sz w:val="18"/>
                <w:szCs w:val="18"/>
                <w:color w:val="auto"/>
              </w:rPr>
              <w:t>available.</w:t>
            </w:r>
          </w:p>
        </w:tc>
        <w:tc>
          <w:tcPr>
            <w:tcW w:w="7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Central Bank Rate Spread:</w:t>
            </w:r>
          </w:p>
        </w:tc>
        <w:tc>
          <w:tcPr>
            <w:tcW w:w="8760" w:type="dxa"/>
            <w:vAlign w:val="bottom"/>
            <w:tcBorders>
              <w:right w:val="single" w:sz="8" w:color="auto"/>
            </w:tcBorders>
            <w:gridSpan w:val="4"/>
          </w:tcPr>
          <w:p>
            <w:pPr>
              <w:spacing w:after="0" w:line="195" w:lineRule="exact"/>
              <w:rPr>
                <w:sz w:val="20"/>
                <w:szCs w:val="20"/>
                <w:color w:val="auto"/>
              </w:rPr>
            </w:pPr>
            <w:r>
              <w:rPr>
                <w:rFonts w:ascii="Calibri" w:cs="Calibri" w:eastAsia="Calibri" w:hAnsi="Calibri"/>
                <w:sz w:val="18"/>
                <w:szCs w:val="18"/>
                <w:color w:val="auto"/>
              </w:rPr>
              <w:t>In relaton to any RFR Banking Day, the diference (expressed as a percentage rate per annum) (calculated by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4"/>
          </w:tcPr>
          <w:p>
            <w:pPr>
              <w:spacing w:after="0" w:line="217" w:lineRule="exact"/>
              <w:rPr>
                <w:sz w:val="20"/>
                <w:szCs w:val="20"/>
                <w:color w:val="auto"/>
              </w:rPr>
            </w:pPr>
            <w:r>
              <w:rPr>
                <w:rFonts w:ascii="Calibri" w:cs="Calibri" w:eastAsia="Calibri" w:hAnsi="Calibri"/>
                <w:sz w:val="18"/>
                <w:szCs w:val="18"/>
                <w:color w:val="auto"/>
              </w:rPr>
              <w:t>Agent or by any other Creditor Party which agrees to make the calculaton in place of the Agent) between: (i)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4"/>
          </w:tcPr>
          <w:p>
            <w:pPr>
              <w:spacing w:after="0"/>
              <w:rPr>
                <w:sz w:val="20"/>
                <w:szCs w:val="20"/>
                <w:color w:val="auto"/>
              </w:rPr>
            </w:pPr>
            <w:r>
              <w:rPr>
                <w:rFonts w:ascii="Calibri" w:cs="Calibri" w:eastAsia="Calibri" w:hAnsi="Calibri"/>
                <w:sz w:val="18"/>
                <w:szCs w:val="18"/>
                <w:color w:val="auto"/>
              </w:rPr>
              <w:t>RFR for that RFR Banking Day and (ii) the Central Bank Rate prevailing at the close of business on that RFR Banking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20"/>
                <w:szCs w:val="20"/>
                <w:color w:val="auto"/>
              </w:rPr>
            </w:pPr>
            <w:r>
              <w:rPr>
                <w:rFonts w:ascii="Calibri" w:cs="Calibri" w:eastAsia="Calibri" w:hAnsi="Calibri"/>
                <w:sz w:val="18"/>
                <w:szCs w:val="18"/>
                <w:color w:val="auto"/>
              </w:rPr>
              <w:t>Day.</w:t>
            </w:r>
          </w:p>
        </w:tc>
        <w:tc>
          <w:tcPr>
            <w:tcW w:w="7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664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ind w:left="20"/>
              <w:spacing w:after="0" w:line="214" w:lineRule="exact"/>
              <w:rPr>
                <w:sz w:val="20"/>
                <w:szCs w:val="20"/>
                <w:color w:val="auto"/>
              </w:rPr>
            </w:pPr>
            <w:r>
              <w:rPr>
                <w:rFonts w:ascii="Calibri" w:cs="Calibri" w:eastAsia="Calibri" w:hAnsi="Calibri"/>
                <w:sz w:val="18"/>
                <w:szCs w:val="18"/>
                <w:b w:val="1"/>
                <w:bCs w:val="1"/>
                <w:color w:val="auto"/>
              </w:rPr>
              <w:t>Daily Rate</w:t>
            </w:r>
            <w:r>
              <w:rPr>
                <w:rFonts w:ascii="Calibri" w:cs="Calibri" w:eastAsia="Calibri" w:hAnsi="Calibri"/>
                <w:sz w:val="18"/>
                <w:szCs w:val="18"/>
                <w:color w:val="auto"/>
              </w:rPr>
              <w:t>:</w:t>
            </w:r>
          </w:p>
        </w:tc>
        <w:tc>
          <w:tcPr>
            <w:tcW w:w="6640" w:type="dxa"/>
            <w:vAlign w:val="bottom"/>
            <w:tcBorders>
              <w:bottom w:val="single" w:sz="8" w:color="auto"/>
            </w:tcBorders>
            <w:gridSpan w:val="3"/>
          </w:tcPr>
          <w:p>
            <w:pPr>
              <w:spacing w:after="0" w:line="214" w:lineRule="exact"/>
              <w:rPr>
                <w:sz w:val="20"/>
                <w:szCs w:val="20"/>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Daily Rate</w:t>
            </w:r>
            <w:r>
              <w:rPr>
                <w:rFonts w:ascii="Calibri" w:cs="Calibri" w:eastAsia="Calibri" w:hAnsi="Calibri"/>
                <w:sz w:val="18"/>
                <w:szCs w:val="18"/>
                <w:color w:val="auto"/>
              </w:rPr>
              <w:t>" for any RFR Banking Day is:</w:t>
            </w: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ind w:left="600"/>
              <w:spacing w:after="0" w:line="214" w:lineRule="exact"/>
              <w:rPr>
                <w:sz w:val="20"/>
                <w:szCs w:val="20"/>
                <w:color w:val="auto"/>
              </w:rPr>
            </w:pPr>
            <w:r>
              <w:rPr>
                <w:rFonts w:ascii="Calibri" w:cs="Calibri" w:eastAsia="Calibri" w:hAnsi="Calibri"/>
                <w:sz w:val="18"/>
                <w:szCs w:val="18"/>
                <w:color w:val="auto"/>
              </w:rPr>
              <w:t>(a)</w:t>
            </w:r>
          </w:p>
        </w:tc>
        <w:tc>
          <w:tcPr>
            <w:tcW w:w="5640" w:type="dxa"/>
            <w:vAlign w:val="bottom"/>
            <w:tcBorders>
              <w:bottom w:val="single" w:sz="8" w:color="auto"/>
            </w:tcBorders>
            <w:gridSpan w:val="2"/>
          </w:tcPr>
          <w:p>
            <w:pPr>
              <w:ind w:left="300"/>
              <w:spacing w:after="0" w:line="214" w:lineRule="exact"/>
              <w:rPr>
                <w:sz w:val="20"/>
                <w:szCs w:val="20"/>
                <w:color w:val="auto"/>
              </w:rPr>
            </w:pPr>
            <w:r>
              <w:rPr>
                <w:rFonts w:ascii="Calibri" w:cs="Calibri" w:eastAsia="Calibri" w:hAnsi="Calibri"/>
                <w:sz w:val="18"/>
                <w:szCs w:val="18"/>
                <w:color w:val="auto"/>
              </w:rPr>
              <w:t>the RFR for that RFR Banking Day; or</w:t>
            </w: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tcPr>
          <w:p>
            <w:pPr>
              <w:spacing w:after="0"/>
              <w:rPr>
                <w:sz w:val="17"/>
                <w:szCs w:val="17"/>
                <w:color w:val="auto"/>
              </w:rPr>
            </w:pPr>
          </w:p>
        </w:tc>
        <w:tc>
          <w:tcPr>
            <w:tcW w:w="1000" w:type="dxa"/>
            <w:vAlign w:val="bottom"/>
          </w:tcPr>
          <w:p>
            <w:pPr>
              <w:ind w:left="600"/>
              <w:spacing w:after="0" w:line="202" w:lineRule="exact"/>
              <w:rPr>
                <w:sz w:val="20"/>
                <w:szCs w:val="20"/>
                <w:color w:val="auto"/>
              </w:rPr>
            </w:pPr>
            <w:r>
              <w:rPr>
                <w:rFonts w:ascii="Calibri" w:cs="Calibri" w:eastAsia="Calibri" w:hAnsi="Calibri"/>
                <w:sz w:val="18"/>
                <w:szCs w:val="18"/>
                <w:color w:val="auto"/>
              </w:rPr>
              <w:t>(b)</w:t>
            </w:r>
          </w:p>
        </w:tc>
        <w:tc>
          <w:tcPr>
            <w:tcW w:w="7760" w:type="dxa"/>
            <w:vAlign w:val="bottom"/>
            <w:tcBorders>
              <w:right w:val="single" w:sz="8" w:color="auto"/>
            </w:tcBorders>
            <w:gridSpan w:val="3"/>
          </w:tcPr>
          <w:p>
            <w:pPr>
              <w:ind w:left="300"/>
              <w:spacing w:after="0" w:line="202" w:lineRule="exact"/>
              <w:rPr>
                <w:sz w:val="20"/>
                <w:szCs w:val="20"/>
                <w:color w:val="auto"/>
              </w:rPr>
            </w:pPr>
            <w:r>
              <w:rPr>
                <w:rFonts w:ascii="Calibri" w:cs="Calibri" w:eastAsia="Calibri" w:hAnsi="Calibri"/>
                <w:sz w:val="18"/>
                <w:szCs w:val="18"/>
                <w:color w:val="auto"/>
              </w:rPr>
              <w:t>if the RFR is not available for that RFR Banking Day, the percentage rate per annum which is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5640" w:type="dxa"/>
            <w:vAlign w:val="bottom"/>
            <w:gridSpan w:val="2"/>
          </w:tcPr>
          <w:p>
            <w:pPr>
              <w:ind w:left="200"/>
              <w:spacing w:after="0" w:line="217" w:lineRule="exact"/>
              <w:rPr>
                <w:sz w:val="20"/>
                <w:szCs w:val="20"/>
                <w:color w:val="auto"/>
              </w:rPr>
            </w:pPr>
            <w:r>
              <w:rPr>
                <w:rFonts w:ascii="Calibri" w:cs="Calibri" w:eastAsia="Calibri" w:hAnsi="Calibri"/>
                <w:sz w:val="18"/>
                <w:szCs w:val="18"/>
                <w:color w:val="auto"/>
              </w:rPr>
              <w:t>aggregate of:</w:t>
            </w:r>
          </w:p>
        </w:tc>
        <w:tc>
          <w:tcPr>
            <w:tcW w:w="2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ind w:left="200"/>
              <w:spacing w:after="0" w:line="195" w:lineRule="exact"/>
              <w:rPr>
                <w:sz w:val="20"/>
                <w:szCs w:val="20"/>
                <w:color w:val="auto"/>
              </w:rPr>
            </w:pPr>
            <w:r>
              <w:rPr>
                <w:rFonts w:ascii="Calibri" w:cs="Calibri" w:eastAsia="Calibri" w:hAnsi="Calibri"/>
                <w:sz w:val="18"/>
                <w:szCs w:val="18"/>
                <w:color w:val="auto"/>
              </w:rPr>
              <w:t>(i)</w:t>
            </w:r>
          </w:p>
        </w:tc>
        <w:tc>
          <w:tcPr>
            <w:tcW w:w="4860" w:type="dxa"/>
            <w:vAlign w:val="bottom"/>
          </w:tcPr>
          <w:p>
            <w:pPr>
              <w:ind w:left="100"/>
              <w:spacing w:after="0" w:line="195" w:lineRule="exact"/>
              <w:rPr>
                <w:sz w:val="20"/>
                <w:szCs w:val="20"/>
                <w:color w:val="auto"/>
              </w:rPr>
            </w:pPr>
            <w:r>
              <w:rPr>
                <w:rFonts w:ascii="Calibri" w:cs="Calibri" w:eastAsia="Calibri" w:hAnsi="Calibri"/>
                <w:sz w:val="18"/>
                <w:szCs w:val="18"/>
                <w:color w:val="auto"/>
              </w:rPr>
              <w:t>the Central Bank Rate for that RFR Banking Day; and</w:t>
            </w:r>
          </w:p>
        </w:tc>
        <w:tc>
          <w:tcPr>
            <w:tcW w:w="2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ind w:left="200"/>
              <w:spacing w:after="0" w:line="217" w:lineRule="exact"/>
              <w:rPr>
                <w:sz w:val="20"/>
                <w:szCs w:val="20"/>
                <w:color w:val="auto"/>
              </w:rPr>
            </w:pPr>
            <w:r>
              <w:rPr>
                <w:rFonts w:ascii="Calibri" w:cs="Calibri" w:eastAsia="Calibri" w:hAnsi="Calibri"/>
                <w:sz w:val="18"/>
                <w:szCs w:val="18"/>
                <w:color w:val="auto"/>
              </w:rPr>
              <w:t>(ii)</w:t>
            </w:r>
          </w:p>
        </w:tc>
        <w:tc>
          <w:tcPr>
            <w:tcW w:w="4860" w:type="dxa"/>
            <w:vAlign w:val="bottom"/>
          </w:tcPr>
          <w:p>
            <w:pPr>
              <w:ind w:left="120"/>
              <w:spacing w:after="0" w:line="217" w:lineRule="exact"/>
              <w:rPr>
                <w:sz w:val="20"/>
                <w:szCs w:val="20"/>
                <w:color w:val="auto"/>
              </w:rPr>
            </w:pPr>
            <w:r>
              <w:rPr>
                <w:rFonts w:ascii="Calibri" w:cs="Calibri" w:eastAsia="Calibri" w:hAnsi="Calibri"/>
                <w:sz w:val="18"/>
                <w:szCs w:val="18"/>
                <w:color w:val="auto"/>
              </w:rPr>
              <w:t>the applicable Central Bank Rate Adjustment; or</w:t>
            </w:r>
          </w:p>
        </w:tc>
        <w:tc>
          <w:tcPr>
            <w:tcW w:w="2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760" w:type="dxa"/>
            <w:vAlign w:val="bottom"/>
            <w:tcBorders>
              <w:bottom w:val="single" w:sz="8" w:color="auto"/>
              <w:righ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000" w:type="dxa"/>
            <w:vAlign w:val="bottom"/>
          </w:tcPr>
          <w:p>
            <w:pPr>
              <w:ind w:left="600"/>
              <w:spacing w:after="0" w:line="195" w:lineRule="exact"/>
              <w:rPr>
                <w:sz w:val="20"/>
                <w:szCs w:val="20"/>
                <w:color w:val="auto"/>
              </w:rPr>
            </w:pPr>
            <w:r>
              <w:rPr>
                <w:rFonts w:ascii="Calibri" w:cs="Calibri" w:eastAsia="Calibri" w:hAnsi="Calibri"/>
                <w:sz w:val="18"/>
                <w:szCs w:val="18"/>
                <w:color w:val="auto"/>
              </w:rPr>
              <w:t>(c)</w:t>
            </w:r>
          </w:p>
        </w:tc>
        <w:tc>
          <w:tcPr>
            <w:tcW w:w="7760" w:type="dxa"/>
            <w:vAlign w:val="bottom"/>
            <w:tcBorders>
              <w:right w:val="single" w:sz="8" w:color="auto"/>
            </w:tcBorders>
            <w:gridSpan w:val="3"/>
          </w:tcPr>
          <w:p>
            <w:pPr>
              <w:ind w:left="300"/>
              <w:spacing w:after="0" w:line="195" w:lineRule="exact"/>
              <w:rPr>
                <w:sz w:val="20"/>
                <w:szCs w:val="20"/>
                <w:color w:val="auto"/>
              </w:rPr>
            </w:pPr>
            <w:r>
              <w:rPr>
                <w:rFonts w:ascii="Calibri" w:cs="Calibri" w:eastAsia="Calibri" w:hAnsi="Calibri"/>
                <w:sz w:val="18"/>
                <w:szCs w:val="18"/>
                <w:color w:val="auto"/>
              </w:rPr>
              <w:t>if paragraph (b) above applies but the Central Bank Rate for that RFR Banking Day is not available,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5640" w:type="dxa"/>
            <w:vAlign w:val="bottom"/>
            <w:gridSpan w:val="2"/>
          </w:tcPr>
          <w:p>
            <w:pPr>
              <w:ind w:left="200"/>
              <w:spacing w:after="0" w:line="217" w:lineRule="exact"/>
              <w:rPr>
                <w:sz w:val="20"/>
                <w:szCs w:val="20"/>
                <w:color w:val="auto"/>
              </w:rPr>
            </w:pPr>
            <w:r>
              <w:rPr>
                <w:rFonts w:ascii="Calibri" w:cs="Calibri" w:eastAsia="Calibri" w:hAnsi="Calibri"/>
                <w:sz w:val="18"/>
                <w:szCs w:val="18"/>
                <w:color w:val="auto"/>
              </w:rPr>
              <w:t>the percentage rate per annum which is the aggregate of:</w:t>
            </w:r>
          </w:p>
        </w:tc>
        <w:tc>
          <w:tcPr>
            <w:tcW w:w="2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Calibri" w:cs="Calibri" w:eastAsia="Calibri" w:hAnsi="Calibri"/>
                <w:sz w:val="18"/>
                <w:szCs w:val="18"/>
                <w:color w:val="auto"/>
              </w:rPr>
              <w:t>(i)</w:t>
            </w:r>
          </w:p>
        </w:tc>
        <w:tc>
          <w:tcPr>
            <w:tcW w:w="6980" w:type="dxa"/>
            <w:vAlign w:val="bottom"/>
            <w:tcBorders>
              <w:right w:val="single" w:sz="8" w:color="auto"/>
            </w:tcBorders>
            <w:gridSpan w:val="2"/>
          </w:tcPr>
          <w:p>
            <w:pPr>
              <w:ind w:left="100"/>
              <w:spacing w:after="0"/>
              <w:rPr>
                <w:sz w:val="20"/>
                <w:szCs w:val="20"/>
                <w:color w:val="auto"/>
              </w:rPr>
            </w:pPr>
            <w:r>
              <w:rPr>
                <w:rFonts w:ascii="Calibri" w:cs="Calibri" w:eastAsia="Calibri" w:hAnsi="Calibri"/>
                <w:sz w:val="18"/>
                <w:szCs w:val="18"/>
                <w:color w:val="auto"/>
              </w:rPr>
              <w:t>the most recent Central Bank Rate for a day which is no more than fve RFR Banking Days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Calibri" w:cs="Calibri" w:eastAsia="Calibri" w:hAnsi="Calibri"/>
                <w:sz w:val="18"/>
                <w:szCs w:val="18"/>
                <w:color w:val="auto"/>
              </w:rPr>
              <w:t>before that RFR Banking Day; and</w:t>
            </w: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Calibri" w:cs="Calibri" w:eastAsia="Calibri" w:hAnsi="Calibri"/>
                <w:sz w:val="18"/>
                <w:szCs w:val="18"/>
                <w:color w:val="auto"/>
              </w:rPr>
              <w:t>(ii)</w:t>
            </w:r>
          </w:p>
        </w:tc>
        <w:tc>
          <w:tcPr>
            <w:tcW w:w="4860" w:type="dxa"/>
            <w:vAlign w:val="bottom"/>
          </w:tcPr>
          <w:p>
            <w:pPr>
              <w:ind w:left="120"/>
              <w:spacing w:after="0"/>
              <w:rPr>
                <w:sz w:val="20"/>
                <w:szCs w:val="20"/>
                <w:color w:val="auto"/>
              </w:rPr>
            </w:pPr>
            <w:r>
              <w:rPr>
                <w:rFonts w:ascii="Calibri" w:cs="Calibri" w:eastAsia="Calibri" w:hAnsi="Calibri"/>
                <w:sz w:val="18"/>
                <w:szCs w:val="18"/>
                <w:color w:val="auto"/>
              </w:rPr>
              <w:t>the applicable Central Bank Rate Adjustment,</w:t>
            </w: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4"/>
          </w:tcPr>
          <w:p>
            <w:pPr>
              <w:spacing w:after="0"/>
              <w:rPr>
                <w:sz w:val="20"/>
                <w:szCs w:val="20"/>
                <w:color w:val="auto"/>
              </w:rPr>
            </w:pPr>
            <w:r>
              <w:rPr>
                <w:rFonts w:ascii="Calibri" w:cs="Calibri" w:eastAsia="Calibri" w:hAnsi="Calibri"/>
                <w:sz w:val="18"/>
                <w:szCs w:val="18"/>
                <w:color w:val="auto"/>
              </w:rPr>
              <w:t>rounded, in either case, to fve decimal places and if, in either case, that rate is less than zero, the Daily Rate shall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780" w:type="dxa"/>
            <w:vAlign w:val="bottom"/>
            <w:gridSpan w:val="2"/>
          </w:tcPr>
          <w:p>
            <w:pPr>
              <w:spacing w:after="0"/>
              <w:rPr>
                <w:sz w:val="20"/>
                <w:szCs w:val="20"/>
                <w:color w:val="auto"/>
              </w:rPr>
            </w:pPr>
            <w:r>
              <w:rPr>
                <w:rFonts w:ascii="Calibri" w:cs="Calibri" w:eastAsia="Calibri" w:hAnsi="Calibri"/>
                <w:sz w:val="18"/>
                <w:szCs w:val="18"/>
                <w:color w:val="auto"/>
              </w:rPr>
              <w:t>be deemed to be zero.</w:t>
            </w:r>
          </w:p>
        </w:tc>
        <w:tc>
          <w:tcPr>
            <w:tcW w:w="486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ind w:left="20"/>
              <w:spacing w:after="0" w:line="214" w:lineRule="exact"/>
              <w:rPr>
                <w:sz w:val="20"/>
                <w:szCs w:val="20"/>
                <w:color w:val="auto"/>
              </w:rPr>
            </w:pPr>
            <w:r>
              <w:rPr>
                <w:rFonts w:ascii="Calibri" w:cs="Calibri" w:eastAsia="Calibri" w:hAnsi="Calibri"/>
                <w:sz w:val="18"/>
                <w:szCs w:val="18"/>
                <w:b w:val="1"/>
                <w:bCs w:val="1"/>
                <w:color w:val="auto"/>
              </w:rPr>
              <w:t>Lookback Period:</w:t>
            </w:r>
          </w:p>
        </w:tc>
        <w:tc>
          <w:tcPr>
            <w:tcW w:w="1780" w:type="dxa"/>
            <w:vAlign w:val="bottom"/>
            <w:tcBorders>
              <w:bottom w:val="single" w:sz="8" w:color="auto"/>
            </w:tcBorders>
            <w:gridSpan w:val="2"/>
          </w:tcPr>
          <w:p>
            <w:pPr>
              <w:spacing w:after="0" w:line="214" w:lineRule="exact"/>
              <w:rPr>
                <w:sz w:val="20"/>
                <w:szCs w:val="20"/>
                <w:color w:val="auto"/>
              </w:rPr>
            </w:pPr>
            <w:r>
              <w:rPr>
                <w:rFonts w:ascii="Calibri" w:cs="Calibri" w:eastAsia="Calibri" w:hAnsi="Calibri"/>
                <w:sz w:val="18"/>
                <w:szCs w:val="18"/>
                <w:color w:val="auto"/>
              </w:rPr>
              <w:t>Five RFR Banking Days.</w:t>
            </w:r>
          </w:p>
        </w:tc>
        <w:tc>
          <w:tcPr>
            <w:tcW w:w="48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tcPr>
          <w:p>
            <w:pPr>
              <w:jc w:val="center"/>
              <w:ind w:right="2069"/>
              <w:spacing w:after="0"/>
              <w:rPr>
                <w:sz w:val="20"/>
                <w:szCs w:val="20"/>
                <w:color w:val="auto"/>
              </w:rPr>
            </w:pPr>
            <w:r>
              <w:rPr>
                <w:rFonts w:ascii="Times New Roman" w:cs="Times New Roman" w:eastAsia="Times New Roman" w:hAnsi="Times New Roman"/>
                <w:sz w:val="17"/>
                <w:szCs w:val="17"/>
                <w:color w:val="auto"/>
              </w:rPr>
              <w:t>121</w:t>
            </w:r>
          </w:p>
        </w:tc>
        <w:tc>
          <w:tcPr>
            <w:tcW w:w="2120" w:type="dxa"/>
            <w:vAlign w:val="bottom"/>
          </w:tcPr>
          <w:p>
            <w:pPr>
              <w:ind w:left="800"/>
              <w:spacing w:after="0" w:line="179" w:lineRule="exact"/>
              <w:rPr>
                <w:sz w:val="20"/>
                <w:szCs w:val="20"/>
                <w:color w:val="auto"/>
              </w:rPr>
            </w:pPr>
            <w:r>
              <w:rPr>
                <w:rFonts w:ascii="Calibri" w:cs="Calibri" w:eastAsia="Calibri" w:hAnsi="Calibri"/>
                <w:sz w:val="15"/>
                <w:szCs w:val="15"/>
                <w:color w:val="auto"/>
                <w:w w:val="97"/>
              </w:rPr>
              <w:t>EUROPE/71630549v6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7" w:right="339" w:bottom="1440" w:gutter="0" w:footer="0" w:header="0"/>
        </w:sectPr>
      </w:pPr>
    </w:p>
    <w:bookmarkStart w:id="264" w:name="page265"/>
    <w:bookmarkEnd w:id="2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00" w:type="dxa"/>
            <w:vAlign w:val="bottom"/>
            <w:tcBorders>
              <w:top w:val="single" w:sz="8" w:color="auto"/>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Market Disrupton Credit</w:t>
            </w:r>
          </w:p>
        </w:tc>
        <w:tc>
          <w:tcPr>
            <w:tcW w:w="8760" w:type="dxa"/>
            <w:vAlign w:val="bottom"/>
            <w:tcBorders>
              <w:top w:val="single" w:sz="8" w:color="auto"/>
              <w:right w:val="single" w:sz="8" w:color="auto"/>
            </w:tcBorders>
            <w:gridSpan w:val="3"/>
          </w:tcPr>
          <w:p>
            <w:pPr>
              <w:spacing w:after="0" w:line="215" w:lineRule="exact"/>
              <w:rPr>
                <w:sz w:val="20"/>
                <w:szCs w:val="20"/>
                <w:color w:val="auto"/>
              </w:rPr>
            </w:pPr>
            <w:r>
              <w:rPr>
                <w:rFonts w:ascii="Calibri" w:cs="Calibri" w:eastAsia="Calibri" w:hAnsi="Calibri"/>
                <w:sz w:val="18"/>
                <w:szCs w:val="18"/>
                <w:color w:val="auto"/>
              </w:rPr>
              <w:t xml:space="preserve">Length of Interest Period Credit Adjustment Spread for USD ≤ 1 Month 0.11448% </w:t>
            </w:r>
            <w:r>
              <w:rPr>
                <w:rFonts w:ascii="Arial" w:cs="Arial" w:eastAsia="Arial" w:hAnsi="Arial"/>
                <w:sz w:val="18"/>
                <w:szCs w:val="18"/>
                <w:color w:val="auto"/>
              </w:rPr>
              <w:t>˃</w:t>
            </w:r>
            <w:r>
              <w:rPr>
                <w:rFonts w:ascii="Calibri" w:cs="Calibri" w:eastAsia="Calibri" w:hAnsi="Calibri"/>
                <w:sz w:val="18"/>
                <w:szCs w:val="18"/>
                <w:color w:val="auto"/>
              </w:rPr>
              <w:t xml:space="preserve"> 1 Month and ≤ 3 Months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500" w:type="dxa"/>
            <w:vAlign w:val="bottom"/>
            <w:tcBorders>
              <w:left w:val="single" w:sz="8" w:color="auto"/>
              <w:bottom w:val="single" w:sz="8" w:color="auto"/>
              <w:right w:val="single" w:sz="8" w:color="auto"/>
            </w:tcBorders>
          </w:tcPr>
          <w:p>
            <w:pPr>
              <w:ind w:left="20"/>
              <w:spacing w:after="0" w:line="217" w:lineRule="exact"/>
              <w:rPr>
                <w:sz w:val="20"/>
                <w:szCs w:val="20"/>
                <w:color w:val="auto"/>
              </w:rPr>
            </w:pPr>
            <w:r>
              <w:rPr>
                <w:rFonts w:ascii="Calibri" w:cs="Calibri" w:eastAsia="Calibri" w:hAnsi="Calibri"/>
                <w:sz w:val="18"/>
                <w:szCs w:val="18"/>
                <w:b w:val="1"/>
                <w:bCs w:val="1"/>
                <w:color w:val="auto"/>
              </w:rPr>
              <w:t>Adjustment Spread:</w:t>
            </w:r>
          </w:p>
        </w:tc>
        <w:tc>
          <w:tcPr>
            <w:tcW w:w="7380" w:type="dxa"/>
            <w:vAlign w:val="bottom"/>
            <w:tcBorders>
              <w:bottom w:val="single" w:sz="8" w:color="auto"/>
            </w:tcBorders>
            <w:gridSpan w:val="2"/>
          </w:tcPr>
          <w:p>
            <w:pPr>
              <w:spacing w:after="0"/>
              <w:rPr>
                <w:sz w:val="20"/>
                <w:szCs w:val="20"/>
                <w:color w:val="auto"/>
              </w:rPr>
            </w:pPr>
            <w:r>
              <w:rPr>
                <w:rFonts w:ascii="Calibri" w:cs="Calibri" w:eastAsia="Calibri" w:hAnsi="Calibri"/>
                <w:sz w:val="18"/>
                <w:szCs w:val="18"/>
                <w:color w:val="auto"/>
              </w:rPr>
              <w:t xml:space="preserve">0.26161% </w:t>
            </w:r>
            <w:r>
              <w:rPr>
                <w:rFonts w:ascii="Arial" w:cs="Arial" w:eastAsia="Arial" w:hAnsi="Arial"/>
                <w:sz w:val="18"/>
                <w:szCs w:val="18"/>
                <w:color w:val="auto"/>
              </w:rPr>
              <w:t>˃</w:t>
            </w:r>
            <w:r>
              <w:rPr>
                <w:rFonts w:ascii="Calibri" w:cs="Calibri" w:eastAsia="Calibri" w:hAnsi="Calibri"/>
                <w:sz w:val="18"/>
                <w:szCs w:val="18"/>
                <w:color w:val="auto"/>
              </w:rPr>
              <w:t xml:space="preserve"> 3 Months and ≤ 6 Months 0.42826% </w:t>
            </w:r>
            <w:r>
              <w:rPr>
                <w:rFonts w:ascii="Arial" w:cs="Arial" w:eastAsia="Arial" w:hAnsi="Arial"/>
                <w:sz w:val="18"/>
                <w:szCs w:val="18"/>
                <w:color w:val="auto"/>
              </w:rPr>
              <w:t>˃</w:t>
            </w:r>
            <w:r>
              <w:rPr>
                <w:rFonts w:ascii="Calibri" w:cs="Calibri" w:eastAsia="Calibri" w:hAnsi="Calibri"/>
                <w:sz w:val="18"/>
                <w:szCs w:val="18"/>
                <w:color w:val="auto"/>
              </w:rPr>
              <w:t xml:space="preserve"> 6 Months and ≤ 12Months 0.71513%</w:t>
            </w:r>
          </w:p>
        </w:tc>
        <w:tc>
          <w:tcPr>
            <w:tcW w:w="13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Market Disrupton Rate</w:t>
            </w:r>
          </w:p>
        </w:tc>
        <w:tc>
          <w:tcPr>
            <w:tcW w:w="7380" w:type="dxa"/>
            <w:vAlign w:val="bottom"/>
            <w:gridSpan w:val="2"/>
          </w:tcPr>
          <w:p>
            <w:pPr>
              <w:spacing w:after="0" w:line="195" w:lineRule="exact"/>
              <w:rPr>
                <w:sz w:val="20"/>
                <w:szCs w:val="20"/>
                <w:color w:val="auto"/>
              </w:rPr>
            </w:pPr>
            <w:r>
              <w:rPr>
                <w:rFonts w:ascii="Calibri" w:cs="Calibri" w:eastAsia="Calibri" w:hAnsi="Calibri"/>
                <w:sz w:val="18"/>
                <w:szCs w:val="18"/>
                <w:color w:val="auto"/>
              </w:rPr>
              <w:t>The percentage rate per annum which is the aggregate of:</w:t>
            </w:r>
          </w:p>
        </w:tc>
        <w:tc>
          <w:tcPr>
            <w:tcW w:w="13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160" w:type="dxa"/>
            <w:vAlign w:val="bottom"/>
          </w:tcPr>
          <w:p>
            <w:pPr>
              <w:ind w:left="600"/>
              <w:spacing w:after="0" w:line="217" w:lineRule="exact"/>
              <w:rPr>
                <w:sz w:val="20"/>
                <w:szCs w:val="20"/>
                <w:color w:val="auto"/>
              </w:rPr>
            </w:pPr>
            <w:r>
              <w:rPr>
                <w:rFonts w:ascii="Calibri" w:cs="Calibri" w:eastAsia="Calibri" w:hAnsi="Calibri"/>
                <w:sz w:val="18"/>
                <w:szCs w:val="18"/>
                <w:color w:val="auto"/>
              </w:rPr>
              <w:t>(a)</w:t>
            </w:r>
          </w:p>
        </w:tc>
        <w:tc>
          <w:tcPr>
            <w:tcW w:w="6220" w:type="dxa"/>
            <w:vAlign w:val="bottom"/>
          </w:tcPr>
          <w:p>
            <w:pPr>
              <w:ind w:left="140"/>
              <w:spacing w:after="0" w:line="217" w:lineRule="exact"/>
              <w:rPr>
                <w:sz w:val="20"/>
                <w:szCs w:val="20"/>
                <w:color w:val="auto"/>
              </w:rPr>
            </w:pPr>
            <w:r>
              <w:rPr>
                <w:rFonts w:ascii="Calibri" w:cs="Calibri" w:eastAsia="Calibri" w:hAnsi="Calibri"/>
                <w:sz w:val="18"/>
                <w:szCs w:val="18"/>
                <w:color w:val="auto"/>
              </w:rPr>
              <w:t>the Cumulatve Compounded RFR Rate for the Interest Period of the Loan; and</w:t>
            </w: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160" w:type="dxa"/>
            <w:vAlign w:val="bottom"/>
          </w:tcPr>
          <w:p>
            <w:pPr>
              <w:ind w:left="600"/>
              <w:spacing w:after="0"/>
              <w:rPr>
                <w:sz w:val="20"/>
                <w:szCs w:val="20"/>
                <w:color w:val="auto"/>
              </w:rPr>
            </w:pPr>
            <w:r>
              <w:rPr>
                <w:rFonts w:ascii="Calibri" w:cs="Calibri" w:eastAsia="Calibri" w:hAnsi="Calibri"/>
                <w:sz w:val="18"/>
                <w:szCs w:val="18"/>
                <w:color w:val="auto"/>
              </w:rPr>
              <w:t>(b)</w:t>
            </w:r>
          </w:p>
        </w:tc>
        <w:tc>
          <w:tcPr>
            <w:tcW w:w="6220" w:type="dxa"/>
            <w:vAlign w:val="bottom"/>
          </w:tcPr>
          <w:p>
            <w:pPr>
              <w:ind w:left="120"/>
              <w:spacing w:after="0"/>
              <w:rPr>
                <w:sz w:val="20"/>
                <w:szCs w:val="20"/>
                <w:color w:val="auto"/>
              </w:rPr>
            </w:pPr>
            <w:r>
              <w:rPr>
                <w:rFonts w:ascii="Calibri" w:cs="Calibri" w:eastAsia="Calibri" w:hAnsi="Calibri"/>
                <w:sz w:val="18"/>
                <w:szCs w:val="18"/>
                <w:color w:val="auto"/>
              </w:rPr>
              <w:t>the applicable Market Disrupton Credit Adjustment Spread.</w:t>
            </w:r>
          </w:p>
        </w:tc>
        <w:tc>
          <w:tcPr>
            <w:tcW w:w="1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50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Calibri" w:cs="Calibri" w:eastAsia="Calibri" w:hAnsi="Calibri"/>
                <w:sz w:val="18"/>
                <w:szCs w:val="18"/>
                <w:b w:val="1"/>
                <w:bCs w:val="1"/>
                <w:color w:val="auto"/>
              </w:rPr>
              <w:t>Relevant Market:</w:t>
            </w:r>
          </w:p>
        </w:tc>
        <w:tc>
          <w:tcPr>
            <w:tcW w:w="7380" w:type="dxa"/>
            <w:vAlign w:val="bottom"/>
            <w:tcBorders>
              <w:bottom w:val="single" w:sz="8" w:color="auto"/>
            </w:tcBorders>
            <w:gridSpan w:val="2"/>
          </w:tcPr>
          <w:p>
            <w:pPr>
              <w:ind w:left="600"/>
              <w:spacing w:after="0" w:line="210" w:lineRule="exact"/>
              <w:rPr>
                <w:sz w:val="20"/>
                <w:szCs w:val="20"/>
                <w:color w:val="auto"/>
              </w:rPr>
            </w:pPr>
            <w:r>
              <w:rPr>
                <w:rFonts w:ascii="Calibri" w:cs="Calibri" w:eastAsia="Calibri" w:hAnsi="Calibri"/>
                <w:sz w:val="18"/>
                <w:szCs w:val="18"/>
                <w:color w:val="auto"/>
              </w:rPr>
              <w:t>The market for overnight cash borrowing collateralised by US Government securites.</w:t>
            </w:r>
          </w:p>
        </w:tc>
        <w:tc>
          <w:tcPr>
            <w:tcW w:w="13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tcPr>
          <w:p>
            <w:pPr>
              <w:ind w:left="20"/>
              <w:spacing w:after="0" w:line="202" w:lineRule="exact"/>
              <w:rPr>
                <w:sz w:val="20"/>
                <w:szCs w:val="20"/>
                <w:color w:val="auto"/>
              </w:rPr>
            </w:pPr>
            <w:r>
              <w:rPr>
                <w:rFonts w:ascii="Calibri" w:cs="Calibri" w:eastAsia="Calibri" w:hAnsi="Calibri"/>
                <w:sz w:val="18"/>
                <w:szCs w:val="18"/>
                <w:b w:val="1"/>
                <w:bCs w:val="1"/>
                <w:color w:val="auto"/>
              </w:rPr>
              <w:t>Reportng Day:</w:t>
            </w:r>
          </w:p>
        </w:tc>
        <w:tc>
          <w:tcPr>
            <w:tcW w:w="8760" w:type="dxa"/>
            <w:vAlign w:val="bottom"/>
            <w:tcBorders>
              <w:right w:val="single" w:sz="8" w:color="auto"/>
            </w:tcBorders>
            <w:gridSpan w:val="3"/>
          </w:tcPr>
          <w:p>
            <w:pPr>
              <w:ind w:left="600"/>
              <w:spacing w:after="0" w:line="202" w:lineRule="exact"/>
              <w:rPr>
                <w:sz w:val="20"/>
                <w:szCs w:val="20"/>
                <w:color w:val="auto"/>
              </w:rPr>
            </w:pPr>
            <w:r>
              <w:rPr>
                <w:rFonts w:ascii="Calibri" w:cs="Calibri" w:eastAsia="Calibri" w:hAnsi="Calibri"/>
                <w:sz w:val="18"/>
                <w:szCs w:val="18"/>
                <w:color w:val="auto"/>
              </w:rPr>
              <w:t>The Business Day which follows the day which is the Lookback Period prior to the last day of the Interest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160" w:type="dxa"/>
            <w:vAlign w:val="bottom"/>
          </w:tcPr>
          <w:p>
            <w:pPr>
              <w:ind w:left="600"/>
              <w:spacing w:after="0" w:line="217" w:lineRule="exact"/>
              <w:rPr>
                <w:sz w:val="20"/>
                <w:szCs w:val="20"/>
                <w:color w:val="auto"/>
              </w:rPr>
            </w:pPr>
            <w:r>
              <w:rPr>
                <w:rFonts w:ascii="Calibri" w:cs="Calibri" w:eastAsia="Calibri" w:hAnsi="Calibri"/>
                <w:sz w:val="18"/>
                <w:szCs w:val="18"/>
                <w:color w:val="auto"/>
              </w:rPr>
              <w:t>Period.</w:t>
            </w:r>
          </w:p>
        </w:tc>
        <w:tc>
          <w:tcPr>
            <w:tcW w:w="62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RFR:</w:t>
            </w:r>
          </w:p>
        </w:tc>
        <w:tc>
          <w:tcPr>
            <w:tcW w:w="8760" w:type="dxa"/>
            <w:vAlign w:val="bottom"/>
            <w:tcBorders>
              <w:right w:val="single" w:sz="8" w:color="auto"/>
            </w:tcBorders>
            <w:gridSpan w:val="3"/>
          </w:tcPr>
          <w:p>
            <w:pPr>
              <w:ind w:left="600"/>
              <w:spacing w:after="0" w:line="195" w:lineRule="exact"/>
              <w:rPr>
                <w:sz w:val="20"/>
                <w:szCs w:val="20"/>
                <w:color w:val="auto"/>
              </w:rPr>
            </w:pPr>
            <w:r>
              <w:rPr>
                <w:rFonts w:ascii="Calibri" w:cs="Calibri" w:eastAsia="Calibri" w:hAnsi="Calibri"/>
                <w:sz w:val="18"/>
                <w:szCs w:val="18"/>
                <w:color w:val="auto"/>
              </w:rPr>
              <w:t>The secured overnight fnancing rate (SOFR) administered by the Federal Reserve Bank of New York (or any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3"/>
          </w:tcPr>
          <w:p>
            <w:pPr>
              <w:ind w:left="600"/>
              <w:spacing w:after="0" w:line="217" w:lineRule="exact"/>
              <w:rPr>
                <w:sz w:val="20"/>
                <w:szCs w:val="20"/>
                <w:color w:val="auto"/>
              </w:rPr>
            </w:pPr>
            <w:r>
              <w:rPr>
                <w:rFonts w:ascii="Calibri" w:cs="Calibri" w:eastAsia="Calibri" w:hAnsi="Calibri"/>
                <w:sz w:val="18"/>
                <w:szCs w:val="18"/>
                <w:color w:val="auto"/>
              </w:rPr>
              <w:t>other person which takes over the administraton of that rate) published by the Federal Reserve Bank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7380" w:type="dxa"/>
            <w:vAlign w:val="bottom"/>
            <w:gridSpan w:val="2"/>
          </w:tcPr>
          <w:p>
            <w:pPr>
              <w:ind w:left="600"/>
              <w:spacing w:after="0"/>
              <w:rPr>
                <w:sz w:val="20"/>
                <w:szCs w:val="20"/>
                <w:color w:val="auto"/>
              </w:rPr>
            </w:pPr>
            <w:r>
              <w:rPr>
                <w:rFonts w:ascii="Calibri" w:cs="Calibri" w:eastAsia="Calibri" w:hAnsi="Calibri"/>
                <w:sz w:val="18"/>
                <w:szCs w:val="18"/>
                <w:color w:val="auto"/>
              </w:rPr>
              <w:t>New York (or any other person which takes over the publicaton of that rate).</w:t>
            </w:r>
          </w:p>
        </w:tc>
        <w:tc>
          <w:tcPr>
            <w:tcW w:w="1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RFR Banking Day:</w:t>
            </w:r>
          </w:p>
        </w:tc>
        <w:tc>
          <w:tcPr>
            <w:tcW w:w="7380" w:type="dxa"/>
            <w:vAlign w:val="bottom"/>
            <w:gridSpan w:val="2"/>
          </w:tcPr>
          <w:p>
            <w:pPr>
              <w:spacing w:after="0" w:line="195" w:lineRule="exact"/>
              <w:rPr>
                <w:sz w:val="20"/>
                <w:szCs w:val="20"/>
                <w:color w:val="auto"/>
              </w:rPr>
            </w:pPr>
            <w:r>
              <w:rPr>
                <w:rFonts w:ascii="Calibri" w:cs="Calibri" w:eastAsia="Calibri" w:hAnsi="Calibri"/>
                <w:sz w:val="18"/>
                <w:szCs w:val="18"/>
                <w:color w:val="auto"/>
              </w:rPr>
              <w:t>Any day other than:</w:t>
            </w:r>
          </w:p>
        </w:tc>
        <w:tc>
          <w:tcPr>
            <w:tcW w:w="13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spacing w:after="0"/>
              <w:rPr>
                <w:sz w:val="18"/>
                <w:szCs w:val="18"/>
                <w:color w:val="auto"/>
              </w:rPr>
            </w:pPr>
          </w:p>
        </w:tc>
        <w:tc>
          <w:tcPr>
            <w:tcW w:w="1160" w:type="dxa"/>
            <w:vAlign w:val="bottom"/>
          </w:tcPr>
          <w:p>
            <w:pPr>
              <w:ind w:left="600"/>
              <w:spacing w:after="0" w:line="217" w:lineRule="exact"/>
              <w:rPr>
                <w:sz w:val="20"/>
                <w:szCs w:val="20"/>
                <w:color w:val="auto"/>
              </w:rPr>
            </w:pPr>
            <w:r>
              <w:rPr>
                <w:rFonts w:ascii="Calibri" w:cs="Calibri" w:eastAsia="Calibri" w:hAnsi="Calibri"/>
                <w:sz w:val="18"/>
                <w:szCs w:val="18"/>
                <w:color w:val="auto"/>
              </w:rPr>
              <w:t>(a)</w:t>
            </w:r>
          </w:p>
        </w:tc>
        <w:tc>
          <w:tcPr>
            <w:tcW w:w="6220" w:type="dxa"/>
            <w:vAlign w:val="bottom"/>
          </w:tcPr>
          <w:p>
            <w:pPr>
              <w:ind w:left="140"/>
              <w:spacing w:after="0" w:line="217" w:lineRule="exact"/>
              <w:rPr>
                <w:sz w:val="20"/>
                <w:szCs w:val="20"/>
                <w:color w:val="auto"/>
              </w:rPr>
            </w:pPr>
            <w:r>
              <w:rPr>
                <w:rFonts w:ascii="Calibri" w:cs="Calibri" w:eastAsia="Calibri" w:hAnsi="Calibri"/>
                <w:sz w:val="18"/>
                <w:szCs w:val="18"/>
                <w:color w:val="auto"/>
              </w:rPr>
              <w:t>a Saturday or Sunday; and</w:t>
            </w: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160" w:type="dxa"/>
            <w:vAlign w:val="bottom"/>
          </w:tcPr>
          <w:p>
            <w:pPr>
              <w:ind w:left="600"/>
              <w:spacing w:after="0"/>
              <w:rPr>
                <w:sz w:val="20"/>
                <w:szCs w:val="20"/>
                <w:color w:val="auto"/>
              </w:rPr>
            </w:pPr>
            <w:r>
              <w:rPr>
                <w:rFonts w:ascii="Calibri" w:cs="Calibri" w:eastAsia="Calibri" w:hAnsi="Calibri"/>
                <w:sz w:val="18"/>
                <w:szCs w:val="18"/>
                <w:color w:val="auto"/>
              </w:rPr>
              <w:t>(b)</w:t>
            </w:r>
          </w:p>
        </w:tc>
        <w:tc>
          <w:tcPr>
            <w:tcW w:w="76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8"/>
                <w:szCs w:val="18"/>
                <w:color w:val="auto"/>
              </w:rPr>
              <w:t>a day on which the Securites Industry and Financial Markets Associaton (or any successor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760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8"/>
                <w:szCs w:val="18"/>
                <w:color w:val="auto"/>
              </w:rPr>
              <w:t>organisaton) recommends that the fxed income departments of its members be closed for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220" w:type="dxa"/>
            <w:vAlign w:val="bottom"/>
          </w:tcPr>
          <w:p>
            <w:pPr>
              <w:ind w:left="40"/>
              <w:spacing w:after="0"/>
              <w:rPr>
                <w:sz w:val="20"/>
                <w:szCs w:val="20"/>
                <w:color w:val="auto"/>
              </w:rPr>
            </w:pPr>
            <w:r>
              <w:rPr>
                <w:rFonts w:ascii="Calibri" w:cs="Calibri" w:eastAsia="Calibri" w:hAnsi="Calibri"/>
                <w:sz w:val="18"/>
                <w:szCs w:val="18"/>
                <w:color w:val="auto"/>
              </w:rPr>
              <w:t>entre day for purposes of trading in US Government securites.</w:t>
            </w:r>
          </w:p>
        </w:tc>
        <w:tc>
          <w:tcPr>
            <w:tcW w:w="1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00" w:type="dxa"/>
            <w:vAlign w:val="bottom"/>
            <w:tcBorders>
              <w:left w:val="single" w:sz="8" w:color="auto"/>
              <w:bottom w:val="single" w:sz="8" w:color="auto"/>
              <w:right w:val="single" w:sz="8" w:color="auto"/>
            </w:tcBorders>
          </w:tcPr>
          <w:p>
            <w:pPr>
              <w:ind w:left="20"/>
              <w:spacing w:after="0" w:line="214" w:lineRule="exact"/>
              <w:rPr>
                <w:sz w:val="20"/>
                <w:szCs w:val="20"/>
                <w:color w:val="auto"/>
              </w:rPr>
            </w:pPr>
            <w:r>
              <w:rPr>
                <w:rFonts w:ascii="Calibri" w:cs="Calibri" w:eastAsia="Calibri" w:hAnsi="Calibri"/>
                <w:sz w:val="18"/>
                <w:szCs w:val="18"/>
                <w:b w:val="1"/>
                <w:bCs w:val="1"/>
                <w:i w:val="1"/>
                <w:iCs w:val="1"/>
                <w:color w:val="auto"/>
              </w:rPr>
              <w:t>Reportng Time</w:t>
            </w:r>
          </w:p>
        </w:tc>
        <w:tc>
          <w:tcPr>
            <w:tcW w:w="116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ind w:left="20"/>
              <w:spacing w:after="0" w:line="198" w:lineRule="exact"/>
              <w:rPr>
                <w:sz w:val="20"/>
                <w:szCs w:val="20"/>
                <w:color w:val="auto"/>
              </w:rPr>
            </w:pPr>
            <w:r>
              <w:rPr>
                <w:rFonts w:ascii="Calibri" w:cs="Calibri" w:eastAsia="Calibri" w:hAnsi="Calibri"/>
                <w:sz w:val="18"/>
                <w:szCs w:val="18"/>
                <w:color w:val="auto"/>
              </w:rPr>
              <w:t>Deadline to report market</w:t>
            </w:r>
          </w:p>
        </w:tc>
        <w:tc>
          <w:tcPr>
            <w:tcW w:w="7380" w:type="dxa"/>
            <w:vAlign w:val="bottom"/>
            <w:gridSpan w:val="2"/>
          </w:tcPr>
          <w:p>
            <w:pPr>
              <w:ind w:left="600"/>
              <w:spacing w:after="0" w:line="198" w:lineRule="exact"/>
              <w:rPr>
                <w:sz w:val="20"/>
                <w:szCs w:val="20"/>
                <w:color w:val="auto"/>
              </w:rPr>
            </w:pPr>
            <w:r>
              <w:rPr>
                <w:rFonts w:ascii="Calibri" w:cs="Calibri" w:eastAsia="Calibri" w:hAnsi="Calibri"/>
                <w:sz w:val="18"/>
                <w:szCs w:val="18"/>
                <w:color w:val="auto"/>
              </w:rPr>
              <w:t>Close of business in London on the Reportng Day for the Loan.</w:t>
            </w:r>
          </w:p>
        </w:tc>
        <w:tc>
          <w:tcPr>
            <w:tcW w:w="13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ind w:left="20"/>
              <w:spacing w:after="0" w:line="217" w:lineRule="exact"/>
              <w:rPr>
                <w:sz w:val="20"/>
                <w:szCs w:val="20"/>
                <w:color w:val="auto"/>
              </w:rPr>
            </w:pPr>
            <w:r>
              <w:rPr>
                <w:rFonts w:ascii="Calibri" w:cs="Calibri" w:eastAsia="Calibri" w:hAnsi="Calibri"/>
                <w:sz w:val="18"/>
                <w:szCs w:val="18"/>
                <w:color w:val="auto"/>
              </w:rPr>
              <w:t>disrupton in accordance with</w:t>
            </w:r>
          </w:p>
        </w:tc>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8"/>
                <w:szCs w:val="18"/>
                <w:color w:val="auto"/>
              </w:rPr>
              <w:t>Clause 5.6</w:t>
            </w:r>
          </w:p>
        </w:tc>
        <w:tc>
          <w:tcPr>
            <w:tcW w:w="11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ind w:left="20"/>
              <w:spacing w:after="0" w:line="195" w:lineRule="exact"/>
              <w:rPr>
                <w:sz w:val="20"/>
                <w:szCs w:val="20"/>
                <w:color w:val="auto"/>
              </w:rPr>
            </w:pPr>
            <w:r>
              <w:rPr>
                <w:rFonts w:ascii="Calibri" w:cs="Calibri" w:eastAsia="Calibri" w:hAnsi="Calibri"/>
                <w:sz w:val="18"/>
                <w:szCs w:val="18"/>
                <w:color w:val="auto"/>
              </w:rPr>
              <w:t>Deadline for Lenders to report</w:t>
            </w:r>
          </w:p>
        </w:tc>
        <w:tc>
          <w:tcPr>
            <w:tcW w:w="8760" w:type="dxa"/>
            <w:vAlign w:val="bottom"/>
            <w:tcBorders>
              <w:right w:val="single" w:sz="8" w:color="auto"/>
            </w:tcBorders>
            <w:gridSpan w:val="3"/>
          </w:tcPr>
          <w:p>
            <w:pPr>
              <w:ind w:left="600"/>
              <w:spacing w:after="0" w:line="195" w:lineRule="exact"/>
              <w:rPr>
                <w:sz w:val="20"/>
                <w:szCs w:val="20"/>
                <w:color w:val="auto"/>
              </w:rPr>
            </w:pPr>
            <w:r>
              <w:rPr>
                <w:rFonts w:ascii="Calibri" w:cs="Calibri" w:eastAsia="Calibri" w:hAnsi="Calibri"/>
                <w:sz w:val="18"/>
                <w:szCs w:val="18"/>
                <w:color w:val="auto"/>
              </w:rPr>
              <w:t>Close of business on the date falling 2 Business Days afer the Reportng Day for the Loan or the relevant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Borders>
              <w:left w:val="single" w:sz="8" w:color="auto"/>
              <w:right w:val="single" w:sz="8" w:color="auto"/>
            </w:tcBorders>
          </w:tcPr>
          <w:p>
            <w:pPr>
              <w:ind w:left="20"/>
              <w:spacing w:after="0" w:line="217" w:lineRule="exact"/>
              <w:rPr>
                <w:sz w:val="20"/>
                <w:szCs w:val="20"/>
                <w:color w:val="auto"/>
              </w:rPr>
            </w:pPr>
            <w:r>
              <w:rPr>
                <w:rFonts w:ascii="Calibri" w:cs="Calibri" w:eastAsia="Calibri" w:hAnsi="Calibri"/>
                <w:sz w:val="18"/>
                <w:szCs w:val="18"/>
                <w:color w:val="auto"/>
              </w:rPr>
              <w:t>their cost of funds in</w:t>
            </w:r>
          </w:p>
        </w:tc>
        <w:tc>
          <w:tcPr>
            <w:tcW w:w="8760" w:type="dxa"/>
            <w:vAlign w:val="bottom"/>
            <w:tcBorders>
              <w:right w:val="single" w:sz="8" w:color="auto"/>
            </w:tcBorders>
            <w:gridSpan w:val="3"/>
          </w:tcPr>
          <w:p>
            <w:pPr>
              <w:ind w:left="600"/>
              <w:spacing w:after="0" w:line="217" w:lineRule="exact"/>
              <w:rPr>
                <w:sz w:val="20"/>
                <w:szCs w:val="20"/>
                <w:color w:val="auto"/>
              </w:rPr>
            </w:pPr>
            <w:r>
              <w:rPr>
                <w:rFonts w:ascii="Calibri" w:cs="Calibri" w:eastAsia="Calibri" w:hAnsi="Calibri"/>
                <w:sz w:val="18"/>
                <w:szCs w:val="18"/>
                <w:color w:val="auto"/>
              </w:rPr>
              <w:t>part of the Loan (or, if earlier, on the date falling 2 Business Days before the date on which interest is due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8"/>
                <w:szCs w:val="18"/>
                <w:color w:val="auto"/>
              </w:rPr>
              <w:t>accordance with Clause 5.7</w:t>
            </w:r>
          </w:p>
        </w:tc>
        <w:tc>
          <w:tcPr>
            <w:tcW w:w="7380" w:type="dxa"/>
            <w:vAlign w:val="bottom"/>
            <w:gridSpan w:val="2"/>
          </w:tcPr>
          <w:p>
            <w:pPr>
              <w:ind w:left="600"/>
              <w:spacing w:after="0"/>
              <w:rPr>
                <w:sz w:val="20"/>
                <w:szCs w:val="20"/>
                <w:color w:val="auto"/>
              </w:rPr>
            </w:pPr>
            <w:r>
              <w:rPr>
                <w:rFonts w:ascii="Calibri" w:cs="Calibri" w:eastAsia="Calibri" w:hAnsi="Calibri"/>
                <w:sz w:val="18"/>
                <w:szCs w:val="18"/>
                <w:color w:val="auto"/>
              </w:rPr>
              <w:t>to be paid in respect of the Interest Period for the Loan or the relevant part of the Loan).</w:t>
            </w:r>
          </w:p>
        </w:tc>
        <w:tc>
          <w:tcPr>
            <w:tcW w:w="1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2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122</w:t>
            </w:r>
          </w:p>
        </w:tc>
        <w:tc>
          <w:tcPr>
            <w:tcW w:w="1380" w:type="dxa"/>
            <w:vAlign w:val="bottom"/>
          </w:tcPr>
          <w:p>
            <w:pPr>
              <w:ind w:left="60"/>
              <w:spacing w:after="0" w:line="179" w:lineRule="exact"/>
              <w:rPr>
                <w:sz w:val="20"/>
                <w:szCs w:val="20"/>
                <w:color w:val="auto"/>
              </w:rPr>
            </w:pPr>
            <w:r>
              <w:rPr>
                <w:rFonts w:ascii="Calibri" w:cs="Calibri" w:eastAsia="Calibri" w:hAnsi="Calibri"/>
                <w:sz w:val="15"/>
                <w:szCs w:val="15"/>
                <w:color w:val="auto"/>
                <w:w w:val="97"/>
              </w:rPr>
              <w:t>EUROPE/71630549v6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6" w:right="339" w:bottom="1440" w:gutter="0" w:footer="0" w:header="0"/>
        </w:sectPr>
      </w:pPr>
    </w:p>
    <w:bookmarkStart w:id="265" w:name="page266"/>
    <w:bookmarkEnd w:id="265"/>
    <w:p>
      <w:pPr>
        <w:jc w:val="center"/>
        <w:spacing w:after="0"/>
        <w:rPr>
          <w:sz w:val="20"/>
          <w:szCs w:val="20"/>
          <w:color w:val="auto"/>
        </w:rPr>
      </w:pPr>
      <w:r>
        <w:rPr>
          <w:rFonts w:ascii="Calibri" w:cs="Calibri" w:eastAsia="Calibri" w:hAnsi="Calibri"/>
          <w:sz w:val="18"/>
          <w:szCs w:val="18"/>
          <w:b w:val="1"/>
          <w:bCs w:val="1"/>
          <w:color w:val="auto"/>
        </w:rPr>
        <w:t>SCHEDULE 8</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DAILY NON-CUMULATIVE COMPOUNDED RFR RATE</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Daily Non-Cumulatve Compounded RFR Rate</w:t>
      </w:r>
      <w:r>
        <w:rPr>
          <w:rFonts w:ascii="Calibri" w:cs="Calibri" w:eastAsia="Calibri" w:hAnsi="Calibri"/>
          <w:sz w:val="18"/>
          <w:szCs w:val="18"/>
          <w:color w:val="auto"/>
        </w:rPr>
        <w:t>" for any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during an Interest Period for the Loan or any part of the Loan is the percentage rate per annum (without rounding, to the extent reasonably practcable for the Creditor Party performing the calculaton, taking into account the capabilites of any sofware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139700</wp:posOffset>
            </wp:positionV>
            <wp:extent cx="168592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168592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where:</w:t>
      </w:r>
    </w:p>
    <w:p>
      <w:pPr>
        <w:spacing w:after="0" w:line="79"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UCCDR</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means the Unannualised Cumulatve Compounded Daily Rate for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w:t>
      </w:r>
    </w:p>
    <w:p>
      <w:pPr>
        <w:spacing w:after="0" w:line="96" w:lineRule="exact"/>
        <w:rPr>
          <w:sz w:val="20"/>
          <w:szCs w:val="20"/>
          <w:color w:val="auto"/>
        </w:rPr>
      </w:pPr>
    </w:p>
    <w:p>
      <w:pPr>
        <w:jc w:val="both"/>
        <w:ind w:left="600"/>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UCCDR</w:t>
      </w:r>
      <w:r>
        <w:rPr>
          <w:rFonts w:ascii="Calibri" w:cs="Calibri" w:eastAsia="Calibri" w:hAnsi="Calibri"/>
          <w:sz w:val="30"/>
          <w:szCs w:val="30"/>
          <w:b w:val="1"/>
          <w:bCs w:val="1"/>
          <w:color w:val="auto"/>
          <w:vertAlign w:val="subscript"/>
        </w:rPr>
        <w:t>i-1</w:t>
      </w:r>
      <w:r>
        <w:rPr>
          <w:rFonts w:ascii="Calibri" w:cs="Calibri" w:eastAsia="Calibri" w:hAnsi="Calibri"/>
          <w:sz w:val="18"/>
          <w:szCs w:val="18"/>
          <w:color w:val="auto"/>
        </w:rPr>
        <w:t>" means, in relaton to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the Unannualised Cumulatve Compounded Daily Rate for the immediately preceding RFR Banking Day (if any) during that Interest Period;</w:t>
      </w:r>
    </w:p>
    <w:p>
      <w:pPr>
        <w:spacing w:after="0" w:line="185"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dcc</w:t>
      </w:r>
      <w:r>
        <w:rPr>
          <w:rFonts w:ascii="Calibri" w:cs="Calibri" w:eastAsia="Calibri" w:hAnsi="Calibri"/>
          <w:sz w:val="18"/>
          <w:szCs w:val="18"/>
          <w:color w:val="auto"/>
        </w:rPr>
        <w:t>" means 360 or, in any case where market practce in the Relevant Market is to use a diferent number for quotng the number of days in a year, that number;</w:t>
      </w:r>
    </w:p>
    <w:p>
      <w:pPr>
        <w:spacing w:after="0" w:line="91" w:lineRule="exact"/>
        <w:rPr>
          <w:sz w:val="20"/>
          <w:szCs w:val="20"/>
          <w:color w:val="auto"/>
        </w:rPr>
      </w:pPr>
    </w:p>
    <w:p>
      <w:pPr>
        <w:jc w:val="both"/>
        <w:ind w:left="60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means the number of calendar days from, and including,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up to, but excluding, the following RFR Banking Day; and</w:t>
      </w:r>
    </w:p>
    <w:p>
      <w:pPr>
        <w:spacing w:after="0" w:line="378" w:lineRule="exact"/>
        <w:rPr>
          <w:sz w:val="20"/>
          <w:szCs w:val="20"/>
          <w:color w:val="auto"/>
        </w:rPr>
      </w:pPr>
    </w:p>
    <w:p>
      <w:pPr>
        <w:jc w:val="both"/>
        <w:ind w:left="600"/>
        <w:spacing w:after="0" w:line="225" w:lineRule="auto"/>
        <w:rPr>
          <w:sz w:val="20"/>
          <w:szCs w:val="20"/>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Unannualised Cumulatve Compounded Daily Rate</w:t>
      </w:r>
      <w:r>
        <w:rPr>
          <w:rFonts w:ascii="Calibri" w:cs="Calibri" w:eastAsia="Calibri" w:hAnsi="Calibri"/>
          <w:sz w:val="18"/>
          <w:szCs w:val="18"/>
          <w:color w:val="auto"/>
        </w:rPr>
        <w:t>" for any RFR Banking Day (the "</w:t>
      </w:r>
      <w:r>
        <w:rPr>
          <w:rFonts w:ascii="Calibri" w:cs="Calibri" w:eastAsia="Calibri" w:hAnsi="Calibri"/>
          <w:sz w:val="18"/>
          <w:szCs w:val="18"/>
          <w:b w:val="1"/>
          <w:bCs w:val="1"/>
          <w:color w:val="auto"/>
        </w:rPr>
        <w:t>Cumulated RFR Banking Day</w:t>
      </w:r>
      <w:r>
        <w:rPr>
          <w:rFonts w:ascii="Calibri" w:cs="Calibri" w:eastAsia="Calibri" w:hAnsi="Calibri"/>
          <w:sz w:val="18"/>
          <w:szCs w:val="18"/>
          <w:color w:val="auto"/>
        </w:rPr>
        <w:t>") during that Interest Period is the result of the below calculaton (without rounding, to the extent reasonably practcable for the Creditor Party performing the calculaton, taking into account the capabilites of any sofware used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139700</wp:posOffset>
            </wp:positionV>
            <wp:extent cx="683895" cy="2546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683895"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where:</w:t>
      </w:r>
    </w:p>
    <w:p>
      <w:pPr>
        <w:spacing w:after="0" w:line="181"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ACCDR</w:t>
      </w:r>
      <w:r>
        <w:rPr>
          <w:rFonts w:ascii="Calibri" w:cs="Calibri" w:eastAsia="Calibri" w:hAnsi="Calibri"/>
          <w:sz w:val="18"/>
          <w:szCs w:val="18"/>
          <w:color w:val="auto"/>
        </w:rPr>
        <w:t>" means the Annualised Cumulatve Compounded Daily Rate for that Cumulated RFR Banking Day;</w:t>
      </w:r>
    </w:p>
    <w:p>
      <w:pPr>
        <w:spacing w:after="0" w:line="90" w:lineRule="exact"/>
        <w:rPr>
          <w:sz w:val="20"/>
          <w:szCs w:val="20"/>
          <w:color w:val="auto"/>
        </w:rPr>
      </w:pPr>
    </w:p>
    <w:p>
      <w:pPr>
        <w:jc w:val="both"/>
        <w:ind w:left="580"/>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tn</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means the number of calendar days from, and including, the frst day of the Cumulaton Period to, but excluding, the RFR Banking Day which immediately follows the last day of the Cumulaton Period;</w:t>
      </w:r>
    </w:p>
    <w:p>
      <w:pPr>
        <w:spacing w:after="0" w:line="185" w:lineRule="exact"/>
        <w:rPr>
          <w:sz w:val="20"/>
          <w:szCs w:val="20"/>
          <w:color w:val="auto"/>
        </w:rPr>
      </w:pPr>
    </w:p>
    <w:p>
      <w:pPr>
        <w:jc w:val="both"/>
        <w:ind w:left="580"/>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Cumulaton Period</w:t>
      </w:r>
      <w:r>
        <w:rPr>
          <w:rFonts w:ascii="Calibri" w:cs="Calibri" w:eastAsia="Calibri" w:hAnsi="Calibri"/>
          <w:sz w:val="18"/>
          <w:szCs w:val="18"/>
          <w:color w:val="auto"/>
        </w:rPr>
        <w:t>" means the period from, and including, the frst RFR Banking Day of that Interest Period to, and including, that Cumulated RFR Banking Day;</w:t>
      </w:r>
    </w:p>
    <w:p>
      <w:pPr>
        <w:spacing w:after="0" w:line="182"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dcc</w:t>
      </w:r>
      <w:r>
        <w:rPr>
          <w:rFonts w:ascii="Calibri" w:cs="Calibri" w:eastAsia="Calibri" w:hAnsi="Calibri"/>
          <w:sz w:val="18"/>
          <w:szCs w:val="18"/>
          <w:color w:val="auto"/>
        </w:rPr>
        <w:t>" has the meaning given to that term above; and</w:t>
      </w:r>
    </w:p>
    <w:p>
      <w:pPr>
        <w:spacing w:after="0" w:line="183" w:lineRule="exact"/>
        <w:rPr>
          <w:sz w:val="20"/>
          <w:szCs w:val="20"/>
          <w:color w:val="auto"/>
        </w:rPr>
      </w:pPr>
    </w:p>
    <w:p>
      <w:pPr>
        <w:jc w:val="both"/>
        <w:ind w:left="600"/>
        <w:spacing w:after="0" w:line="228" w:lineRule="auto"/>
        <w:rPr>
          <w:sz w:val="20"/>
          <w:szCs w:val="20"/>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Annualised Cumulatve Compounded Daily Rate</w:t>
      </w:r>
      <w:r>
        <w:rPr>
          <w:rFonts w:ascii="Calibri" w:cs="Calibri" w:eastAsia="Calibri" w:hAnsi="Calibri"/>
          <w:sz w:val="18"/>
          <w:szCs w:val="18"/>
          <w:color w:val="auto"/>
        </w:rPr>
        <w:t>" for that Cumulated RFR Banking Day is the percentage rate per annum (rounded to fve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139700</wp:posOffset>
            </wp:positionV>
            <wp:extent cx="2163445" cy="548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21634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where:</w:t>
      </w:r>
    </w:p>
    <w:p>
      <w:pPr>
        <w:spacing w:after="0" w:line="79"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w:t>
      </w:r>
      <w:r>
        <w:rPr>
          <w:rFonts w:ascii="Calibri" w:cs="Calibri" w:eastAsia="Calibri" w:hAnsi="Calibri"/>
          <w:sz w:val="30"/>
          <w:szCs w:val="30"/>
          <w:b w:val="1"/>
          <w:bCs w:val="1"/>
          <w:color w:val="auto"/>
          <w:vertAlign w:val="subscript"/>
        </w:rPr>
        <w:t>0</w:t>
      </w:r>
      <w:r>
        <w:rPr>
          <w:rFonts w:ascii="Calibri" w:cs="Calibri" w:eastAsia="Calibri" w:hAnsi="Calibri"/>
          <w:sz w:val="18"/>
          <w:szCs w:val="18"/>
          <w:color w:val="auto"/>
        </w:rPr>
        <w:t>" means the number of RFR Banking Days in the Cumulaton Period;</w:t>
      </w:r>
    </w:p>
    <w:p>
      <w:pPr>
        <w:spacing w:after="0" w:line="188"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123</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53" w:right="339" w:bottom="1440" w:gutter="0" w:footer="0" w:header="0"/>
        </w:sectPr>
      </w:pPr>
    </w:p>
    <w:bookmarkStart w:id="266" w:name="page267"/>
    <w:bookmarkEnd w:id="266"/>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Cumulaton Period</w:t>
      </w:r>
      <w:r>
        <w:rPr>
          <w:rFonts w:ascii="Calibri" w:cs="Calibri" w:eastAsia="Calibri" w:hAnsi="Calibri"/>
          <w:sz w:val="18"/>
          <w:szCs w:val="18"/>
          <w:color w:val="auto"/>
        </w:rPr>
        <w:t>" has the meaning given to that term above;</w:t>
      </w:r>
    </w:p>
    <w:p>
      <w:pPr>
        <w:spacing w:after="0" w:line="90" w:lineRule="exact"/>
        <w:rPr>
          <w:sz w:val="20"/>
          <w:szCs w:val="20"/>
          <w:color w:val="auto"/>
        </w:rPr>
      </w:pPr>
    </w:p>
    <w:p>
      <w:pPr>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w:t>
      </w:r>
      <w:r>
        <w:rPr>
          <w:rFonts w:ascii="Calibri" w:cs="Calibri" w:eastAsia="Calibri" w:hAnsi="Calibri"/>
          <w:sz w:val="18"/>
          <w:szCs w:val="18"/>
          <w:color w:val="auto"/>
        </w:rPr>
        <w:t>" means a series of whole numbers from one to d</w:t>
      </w:r>
      <w:r>
        <w:rPr>
          <w:rFonts w:ascii="Calibri" w:cs="Calibri" w:eastAsia="Calibri" w:hAnsi="Calibri"/>
          <w:sz w:val="30"/>
          <w:szCs w:val="30"/>
          <w:color w:val="auto"/>
          <w:vertAlign w:val="subscript"/>
        </w:rPr>
        <w:t>0</w:t>
      </w:r>
      <w:r>
        <w:rPr>
          <w:rFonts w:ascii="Calibri" w:cs="Calibri" w:eastAsia="Calibri" w:hAnsi="Calibri"/>
          <w:sz w:val="18"/>
          <w:szCs w:val="18"/>
          <w:color w:val="auto"/>
        </w:rPr>
        <w:t>, each representng the relevant RFR Banking Day in chronological order in the Cumulaton Period;</w:t>
      </w:r>
    </w:p>
    <w:p>
      <w:pPr>
        <w:spacing w:after="0" w:line="92" w:lineRule="exact"/>
        <w:rPr>
          <w:sz w:val="20"/>
          <w:szCs w:val="20"/>
          <w:color w:val="auto"/>
        </w:rPr>
      </w:pPr>
    </w:p>
    <w:p>
      <w:pPr>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DailyRate</w:t>
      </w:r>
      <w:r>
        <w:rPr>
          <w:rFonts w:ascii="Calibri" w:cs="Calibri" w:eastAsia="Calibri" w:hAnsi="Calibri"/>
          <w:sz w:val="30"/>
          <w:szCs w:val="30"/>
          <w:b w:val="1"/>
          <w:bCs w:val="1"/>
          <w:color w:val="auto"/>
          <w:vertAlign w:val="subscript"/>
        </w:rPr>
        <w:t>i-LP</w:t>
      </w:r>
      <w:r>
        <w:rPr>
          <w:rFonts w:ascii="Calibri" w:cs="Calibri" w:eastAsia="Calibri" w:hAnsi="Calibri"/>
          <w:sz w:val="18"/>
          <w:szCs w:val="18"/>
          <w:color w:val="auto"/>
        </w:rPr>
        <w:t>" means, for any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in the Cumulaton Period, the Daily Rate for the RFR Banking Day which is the applicable Lookback Period prior to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w:t>
      </w:r>
    </w:p>
    <w:p>
      <w:pPr>
        <w:spacing w:after="0" w:line="92" w:lineRule="exact"/>
        <w:rPr>
          <w:sz w:val="20"/>
          <w:szCs w:val="20"/>
          <w:color w:val="auto"/>
        </w:rPr>
      </w:pPr>
    </w:p>
    <w:p>
      <w:pPr>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means, for any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in the Cumulaton Period, the number of calendar days from, and including,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up to, but excluding, the following RFR Banking Day;</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dcc</w:t>
      </w:r>
      <w:r>
        <w:rPr>
          <w:rFonts w:ascii="Calibri" w:cs="Calibri" w:eastAsia="Calibri" w:hAnsi="Calibri"/>
          <w:sz w:val="18"/>
          <w:szCs w:val="18"/>
          <w:color w:val="auto"/>
        </w:rPr>
        <w:t>" has the meaning given to that term above; and</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tn</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has the meaning given to that term above.</w:t>
      </w:r>
    </w:p>
    <w:p>
      <w:pPr>
        <w:spacing w:after="0" w:line="188" w:lineRule="exact"/>
        <w:rPr>
          <w:sz w:val="20"/>
          <w:szCs w:val="20"/>
          <w:color w:val="auto"/>
        </w:rPr>
      </w:pPr>
    </w:p>
    <w:p>
      <w:pPr>
        <w:jc w:val="both"/>
        <w:ind w:left="4920"/>
        <w:spacing w:after="0"/>
        <w:tabs>
          <w:tab w:leader="none" w:pos="9340"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0660"/>
          </w:cols>
          <w:pgMar w:left="900" w:top="427" w:right="339" w:bottom="1440" w:gutter="0" w:footer="0" w:header="0"/>
        </w:sectPr>
      </w:pPr>
    </w:p>
    <w:bookmarkStart w:id="267" w:name="page268"/>
    <w:bookmarkEnd w:id="267"/>
    <w:p>
      <w:pPr>
        <w:jc w:val="center"/>
        <w:spacing w:after="0"/>
        <w:rPr>
          <w:sz w:val="20"/>
          <w:szCs w:val="20"/>
          <w:color w:val="auto"/>
        </w:rPr>
      </w:pPr>
      <w:r>
        <w:rPr>
          <w:rFonts w:ascii="Calibri" w:cs="Calibri" w:eastAsia="Calibri" w:hAnsi="Calibri"/>
          <w:sz w:val="18"/>
          <w:szCs w:val="18"/>
          <w:b w:val="1"/>
          <w:bCs w:val="1"/>
          <w:color w:val="auto"/>
        </w:rPr>
        <w:t>SCHEDULE 9</w:t>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CUMULATIVE COMPOUNDED RFR RATE</w:t>
      </w:r>
    </w:p>
    <w:p>
      <w:pPr>
        <w:spacing w:after="0" w:line="18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w:t>
      </w:r>
      <w:r>
        <w:rPr>
          <w:rFonts w:ascii="Calibri" w:cs="Calibri" w:eastAsia="Calibri" w:hAnsi="Calibri"/>
          <w:sz w:val="18"/>
          <w:szCs w:val="18"/>
          <w:b w:val="1"/>
          <w:bCs w:val="1"/>
          <w:color w:val="auto"/>
        </w:rPr>
        <w:t>Cumulatve Compounded RFR Rate</w:t>
      </w:r>
      <w:r>
        <w:rPr>
          <w:rFonts w:ascii="Calibri" w:cs="Calibri" w:eastAsia="Calibri" w:hAnsi="Calibri"/>
          <w:sz w:val="18"/>
          <w:szCs w:val="18"/>
          <w:color w:val="auto"/>
        </w:rPr>
        <w:t>" for any Interest Period for the Loan or any part of the Loan is the percentage rate per annum (rounded to the same number of decimal places as is specifed in the defniton of "Annualised Cumulatve Compounded Daily Rate" in Schedule 8 (</w:t>
      </w:r>
      <w:r>
        <w:rPr>
          <w:rFonts w:ascii="Calibri" w:cs="Calibri" w:eastAsia="Calibri" w:hAnsi="Calibri"/>
          <w:sz w:val="18"/>
          <w:szCs w:val="18"/>
          <w:i w:val="1"/>
          <w:iCs w:val="1"/>
          <w:color w:val="auto"/>
        </w:rPr>
        <w:t>Daily Non-Cumulatve Compounded RFR Rate</w:t>
      </w:r>
      <w:r>
        <w:rPr>
          <w:rFonts w:ascii="Calibri" w:cs="Calibri" w:eastAsia="Calibri" w:hAnsi="Calibri"/>
          <w:sz w:val="18"/>
          <w:szCs w:val="18"/>
          <w:color w:val="auto"/>
        </w:rPr>
        <w:t>)) calculated as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color w:val="auto"/>
        </w:rPr>
        <w:t>where:</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w:t>
      </w:r>
      <w:r>
        <w:rPr>
          <w:rFonts w:ascii="Calibri" w:cs="Calibri" w:eastAsia="Calibri" w:hAnsi="Calibri"/>
          <w:sz w:val="30"/>
          <w:szCs w:val="30"/>
          <w:b w:val="1"/>
          <w:bCs w:val="1"/>
          <w:color w:val="auto"/>
          <w:vertAlign w:val="subscript"/>
        </w:rPr>
        <w:t>0</w:t>
      </w:r>
      <w:r>
        <w:rPr>
          <w:rFonts w:ascii="Calibri" w:cs="Calibri" w:eastAsia="Calibri" w:hAnsi="Calibri"/>
          <w:sz w:val="18"/>
          <w:szCs w:val="18"/>
          <w:color w:val="auto"/>
        </w:rPr>
        <w:t>" means the number of RFR Banking Days during the Interest Period;</w:t>
      </w:r>
    </w:p>
    <w:p>
      <w:pPr>
        <w:spacing w:after="0" w:line="9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i</w:t>
      </w:r>
      <w:r>
        <w:rPr>
          <w:rFonts w:ascii="Calibri" w:cs="Calibri" w:eastAsia="Calibri" w:hAnsi="Calibri"/>
          <w:sz w:val="18"/>
          <w:szCs w:val="18"/>
          <w:color w:val="auto"/>
        </w:rPr>
        <w:t>" means a series of whole numbers from one to d</w:t>
      </w:r>
      <w:r>
        <w:rPr>
          <w:rFonts w:ascii="Calibri" w:cs="Calibri" w:eastAsia="Calibri" w:hAnsi="Calibri"/>
          <w:sz w:val="30"/>
          <w:szCs w:val="30"/>
          <w:color w:val="auto"/>
          <w:vertAlign w:val="subscript"/>
        </w:rPr>
        <w:t>0</w:t>
      </w:r>
      <w:r>
        <w:rPr>
          <w:rFonts w:ascii="Calibri" w:cs="Calibri" w:eastAsia="Calibri" w:hAnsi="Calibri"/>
          <w:sz w:val="18"/>
          <w:szCs w:val="18"/>
          <w:color w:val="auto"/>
        </w:rPr>
        <w:t>, each representng the relevant RFR Banking Day in chronological order during the Interest Period;</w:t>
      </w:r>
    </w:p>
    <w:p>
      <w:pPr>
        <w:spacing w:after="0" w:line="285" w:lineRule="exact"/>
        <w:rPr>
          <w:sz w:val="20"/>
          <w:szCs w:val="20"/>
          <w:color w:val="auto"/>
        </w:rPr>
      </w:pPr>
    </w:p>
    <w:p>
      <w:pPr>
        <w:jc w:val="both"/>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DailyRate</w:t>
      </w:r>
      <w:r>
        <w:rPr>
          <w:rFonts w:ascii="Calibri" w:cs="Calibri" w:eastAsia="Calibri" w:hAnsi="Calibri"/>
          <w:sz w:val="30"/>
          <w:szCs w:val="30"/>
          <w:b w:val="1"/>
          <w:bCs w:val="1"/>
          <w:color w:val="auto"/>
          <w:vertAlign w:val="subscript"/>
        </w:rPr>
        <w:t>i-LP</w:t>
      </w:r>
      <w:r>
        <w:rPr>
          <w:rFonts w:ascii="Calibri" w:cs="Calibri" w:eastAsia="Calibri" w:hAnsi="Calibri"/>
          <w:sz w:val="18"/>
          <w:szCs w:val="18"/>
          <w:color w:val="auto"/>
        </w:rPr>
        <w:t>" means for any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during the Interest Period, the Daily Rate for the RFR Banking Day which is the applicable Lookback Period prior to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w:t>
      </w:r>
    </w:p>
    <w:p>
      <w:pPr>
        <w:spacing w:after="0" w:line="92" w:lineRule="exact"/>
        <w:rPr>
          <w:sz w:val="20"/>
          <w:szCs w:val="20"/>
          <w:color w:val="auto"/>
        </w:rPr>
      </w:pPr>
    </w:p>
    <w:p>
      <w:pPr>
        <w:jc w:val="both"/>
        <w:spacing w:after="0" w:line="22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w:t>
      </w:r>
      <w:r>
        <w:rPr>
          <w:rFonts w:ascii="Calibri" w:cs="Calibri" w:eastAsia="Calibri" w:hAnsi="Calibri"/>
          <w:sz w:val="30"/>
          <w:szCs w:val="30"/>
          <w:b w:val="1"/>
          <w:bCs w:val="1"/>
          <w:color w:val="auto"/>
          <w:vertAlign w:val="subscript"/>
        </w:rPr>
        <w:t>i</w:t>
      </w:r>
      <w:r>
        <w:rPr>
          <w:rFonts w:ascii="Calibri" w:cs="Calibri" w:eastAsia="Calibri" w:hAnsi="Calibri"/>
          <w:sz w:val="18"/>
          <w:szCs w:val="18"/>
          <w:color w:val="auto"/>
        </w:rPr>
        <w:t>" means, for any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the number of calendar days from, and including, that RFR Banking Day "</w:t>
      </w:r>
      <w:r>
        <w:rPr>
          <w:rFonts w:ascii="Calibri" w:cs="Calibri" w:eastAsia="Calibri" w:hAnsi="Calibri"/>
          <w:sz w:val="18"/>
          <w:szCs w:val="18"/>
          <w:b w:val="1"/>
          <w:bCs w:val="1"/>
          <w:color w:val="auto"/>
        </w:rPr>
        <w:t>i</w:t>
      </w:r>
      <w:r>
        <w:rPr>
          <w:rFonts w:ascii="Calibri" w:cs="Calibri" w:eastAsia="Calibri" w:hAnsi="Calibri"/>
          <w:sz w:val="18"/>
          <w:szCs w:val="18"/>
          <w:color w:val="auto"/>
        </w:rPr>
        <w:t>" up to, but excluding, the following RFR Banking Day;</w:t>
      </w:r>
    </w:p>
    <w:p>
      <w:pPr>
        <w:spacing w:after="0" w:line="185"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dcc</w:t>
      </w:r>
      <w:r>
        <w:rPr>
          <w:rFonts w:ascii="Calibri" w:cs="Calibri" w:eastAsia="Calibri" w:hAnsi="Calibri"/>
          <w:sz w:val="18"/>
          <w:szCs w:val="18"/>
          <w:color w:val="auto"/>
        </w:rPr>
        <w:t>" means 360 or, in any case where market practce in the Relevant Market is to use a diferent number for quotng the number of days in a year, that number; and</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w:t>
      </w:r>
      <w:r>
        <w:rPr>
          <w:rFonts w:ascii="Calibri" w:cs="Calibri" w:eastAsia="Calibri" w:hAnsi="Calibri"/>
          <w:sz w:val="18"/>
          <w:szCs w:val="18"/>
          <w:color w:val="auto"/>
        </w:rPr>
        <w:t>" means the number of calendar days during that Interest Period.</w:t>
      </w:r>
    </w:p>
    <w:p>
      <w:pPr>
        <w:spacing w:after="0" w:line="182"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125</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53" w:right="339" w:bottom="1440" w:gutter="0" w:footer="0" w:header="0"/>
        </w:sectPr>
      </w:pPr>
    </w:p>
    <w:bookmarkStart w:id="268" w:name="page269"/>
    <w:bookmarkEnd w:id="268"/>
    <w:p>
      <w:pPr>
        <w:jc w:val="center"/>
        <w:spacing w:after="0"/>
        <w:rPr>
          <w:sz w:val="20"/>
          <w:szCs w:val="20"/>
          <w:color w:val="auto"/>
        </w:rPr>
      </w:pPr>
      <w:r>
        <w:rPr>
          <w:rFonts w:ascii="Calibri" w:cs="Calibri" w:eastAsia="Calibri" w:hAnsi="Calibri"/>
          <w:sz w:val="18"/>
          <w:szCs w:val="18"/>
          <w:b w:val="1"/>
          <w:bCs w:val="1"/>
          <w:color w:val="auto"/>
        </w:rPr>
        <w:t>EXECUTION PAGES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BORROWER</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spacing w:after="0" w:line="218" w:lineRule="auto"/>
        <w:rPr>
          <w:sz w:val="20"/>
          <w:szCs w:val="20"/>
          <w:color w:val="auto"/>
        </w:rPr>
      </w:pPr>
      <w:r>
        <w:rPr>
          <w:rFonts w:ascii="Calibri" w:cs="Calibri" w:eastAsia="Calibri" w:hAnsi="Calibri"/>
          <w:sz w:val="18"/>
          <w:szCs w:val="18"/>
          <w:color w:val="auto"/>
        </w:rPr>
        <w:t>as atorney-in-fact                                                           )</w:t>
      </w:r>
    </w:p>
    <w:p>
      <w:pPr>
        <w:spacing w:after="0" w:line="219"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 xml:space="preserve">CAPITAL PRODUCT PARTNERS L.P. </w:t>
      </w: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LENDERS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ind w:left="3600"/>
        <w:spacing w:after="0" w:line="218" w:lineRule="auto"/>
        <w:rPr>
          <w:sz w:val="20"/>
          <w:szCs w:val="20"/>
          <w:color w:val="auto"/>
        </w:rPr>
      </w:pPr>
      <w:r>
        <w:rPr>
          <w:rFonts w:ascii="Calibri" w:cs="Calibri" w:eastAsia="Calibri" w:hAnsi="Calibri"/>
          <w:sz w:val="18"/>
          <w:szCs w:val="18"/>
          <w:color w:val="auto"/>
        </w:rPr>
        <w:t>)</w:t>
      </w:r>
    </w:p>
    <w:p>
      <w:pPr>
        <w:spacing w:after="0" w:line="219"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HAMBURG COMMERCIAL BANK AG                       </w:t>
      </w:r>
      <w:r>
        <w:rPr>
          <w:rFonts w:ascii="Calibri" w:cs="Calibri" w:eastAsia="Calibri" w:hAnsi="Calibri"/>
          <w:sz w:val="18"/>
          <w:szCs w:val="18"/>
          <w:color w:val="auto"/>
        </w:rPr>
        <w:t>)</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MANDATED LEAD ARRANGER</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ind w:left="3600"/>
        <w:spacing w:after="0" w:line="218" w:lineRule="auto"/>
        <w:rPr>
          <w:sz w:val="20"/>
          <w:szCs w:val="20"/>
          <w:color w:val="auto"/>
        </w:rPr>
      </w:pPr>
      <w:r>
        <w:rPr>
          <w:rFonts w:ascii="Calibri" w:cs="Calibri" w:eastAsia="Calibri" w:hAnsi="Calibri"/>
          <w:sz w:val="18"/>
          <w:szCs w:val="18"/>
          <w:color w:val="auto"/>
        </w:rPr>
        <w:t>)</w:t>
      </w:r>
    </w:p>
    <w:p>
      <w:pPr>
        <w:spacing w:after="0" w:line="219"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BOOKRUNNER</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spacing w:after="0" w:line="218" w:lineRule="auto"/>
        <w:rPr>
          <w:sz w:val="20"/>
          <w:szCs w:val="20"/>
          <w:color w:val="auto"/>
        </w:rPr>
      </w:pP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1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126</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653" w:right="339" w:bottom="1440" w:gutter="0" w:footer="0" w:header="0"/>
        </w:sectPr>
      </w:pPr>
    </w:p>
    <w:bookmarkStart w:id="269" w:name="page270"/>
    <w:bookmarkEnd w:id="269"/>
    <w:p>
      <w:pPr>
        <w:spacing w:after="0"/>
        <w:rPr>
          <w:sz w:val="20"/>
          <w:szCs w:val="20"/>
          <w:color w:val="auto"/>
        </w:rPr>
      </w:pPr>
      <w:r>
        <w:rPr>
          <w:rFonts w:ascii="Calibri" w:cs="Calibri" w:eastAsia="Calibri" w:hAnsi="Calibri"/>
          <w:sz w:val="18"/>
          <w:szCs w:val="18"/>
          <w:b w:val="1"/>
          <w:bCs w:val="1"/>
          <w:color w:val="auto"/>
        </w:rPr>
        <w:t>AGENT</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spacing w:after="0" w:line="218"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 xml:space="preserve">HAMBURG COMMERCIAL BANK AG </w:t>
      </w: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SECURITY TRUSTEE</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SIGNED </w:t>
      </w:r>
      <w:r>
        <w:rPr>
          <w:rFonts w:ascii="Calibri" w:cs="Calibri" w:eastAsia="Calibri" w:hAnsi="Calibri"/>
          <w:sz w:val="18"/>
          <w:szCs w:val="18"/>
          <w:color w:val="auto"/>
        </w:rPr>
        <w:t>by                                                                           )</w:t>
      </w:r>
    </w:p>
    <w:p>
      <w:pPr>
        <w:spacing w:after="0" w:line="218" w:lineRule="auto"/>
        <w:rPr>
          <w:sz w:val="20"/>
          <w:szCs w:val="20"/>
          <w:color w:val="auto"/>
        </w:rPr>
      </w:pPr>
      <w:r>
        <w:rPr>
          <w:rFonts w:ascii="Calibri" w:cs="Calibri" w:eastAsia="Calibri" w:hAnsi="Calibri"/>
          <w:sz w:val="18"/>
          <w:szCs w:val="18"/>
          <w:color w:val="auto"/>
        </w:rPr>
        <w:t> </w:t>
      </w:r>
    </w:p>
    <w:p>
      <w:pPr>
        <w:spacing w:after="0" w:line="219" w:lineRule="auto"/>
        <w:rPr>
          <w:sz w:val="20"/>
          <w:szCs w:val="20"/>
          <w:color w:val="auto"/>
        </w:rPr>
      </w:pPr>
      <w:r>
        <w:rPr>
          <w:rFonts w:ascii="Calibri" w:cs="Calibri" w:eastAsia="Calibri" w:hAnsi="Calibri"/>
          <w:sz w:val="18"/>
          <w:szCs w:val="18"/>
          <w:color w:val="auto"/>
        </w:rPr>
        <w:t>for and on behalf of                                                        )</w:t>
      </w:r>
    </w:p>
    <w:p>
      <w:pPr>
        <w:spacing w:after="0" w:line="219" w:lineRule="auto"/>
        <w:rPr>
          <w:sz w:val="20"/>
          <w:szCs w:val="20"/>
          <w:color w:val="auto"/>
        </w:rPr>
      </w:pPr>
      <w:r>
        <w:rPr>
          <w:rFonts w:ascii="Calibri" w:cs="Calibri" w:eastAsia="Calibri" w:hAnsi="Calibri"/>
          <w:sz w:val="18"/>
          <w:szCs w:val="18"/>
          <w:b w:val="1"/>
          <w:bCs w:val="1"/>
          <w:color w:val="auto"/>
        </w:rPr>
        <w:t>HAMBURG COMMERCIAL BANK AG                        </w:t>
      </w:r>
      <w:r>
        <w:rPr>
          <w:rFonts w:ascii="Calibri" w:cs="Calibri" w:eastAsia="Calibri" w:hAnsi="Calibri"/>
          <w:sz w:val="18"/>
          <w:szCs w:val="18"/>
          <w:color w:val="auto"/>
        </w:rPr>
        <w:t>)</w:t>
      </w:r>
    </w:p>
    <w:p>
      <w:pPr>
        <w:spacing w:after="0" w:line="219" w:lineRule="auto"/>
        <w:rPr>
          <w:sz w:val="20"/>
          <w:szCs w:val="20"/>
          <w:color w:val="auto"/>
        </w:rPr>
      </w:pPr>
      <w:r>
        <w:rPr>
          <w:rFonts w:ascii="Calibri" w:cs="Calibri" w:eastAsia="Calibri" w:hAnsi="Calibri"/>
          <w:sz w:val="18"/>
          <w:szCs w:val="18"/>
          <w:color w:val="auto"/>
        </w:rPr>
        <w:t>in the presence of:                                                          )</w:t>
      </w:r>
    </w:p>
    <w:p>
      <w:pPr>
        <w:spacing w:after="0" w:line="383" w:lineRule="exact"/>
        <w:rPr>
          <w:sz w:val="20"/>
          <w:szCs w:val="20"/>
          <w:color w:val="auto"/>
        </w:rPr>
      </w:pPr>
    </w:p>
    <w:p>
      <w:pPr>
        <w:jc w:val="both"/>
        <w:ind w:left="5500"/>
        <w:spacing w:after="0"/>
        <w:tabs>
          <w:tab w:leader="none" w:pos="9920" w:val="left"/>
        </w:tabs>
        <w:rPr>
          <w:sz w:val="20"/>
          <w:szCs w:val="20"/>
          <w:color w:val="auto"/>
        </w:rPr>
      </w:pPr>
      <w:r>
        <w:rPr>
          <w:rFonts w:ascii="Times New Roman" w:cs="Times New Roman" w:eastAsia="Times New Roman" w:hAnsi="Times New Roman"/>
          <w:sz w:val="17"/>
          <w:szCs w:val="17"/>
          <w:color w:val="auto"/>
        </w:rPr>
        <w:t>127</w:t>
      </w:r>
      <w:r>
        <w:rPr>
          <w:sz w:val="20"/>
          <w:szCs w:val="20"/>
          <w:color w:val="auto"/>
        </w:rPr>
        <w:tab/>
      </w:r>
      <w:r>
        <w:rPr>
          <w:rFonts w:ascii="Calibri" w:cs="Calibri" w:eastAsia="Calibri" w:hAnsi="Calibri"/>
          <w:sz w:val="15"/>
          <w:szCs w:val="15"/>
          <w:color w:val="auto"/>
        </w:rPr>
        <w:t>EUROPE/71630549v6</w:t>
      </w:r>
    </w:p>
    <w:p>
      <w:pPr>
        <w:sectPr>
          <w:pgSz w:w="11900" w:h="16838" w:orient="portrait"/>
          <w:cols w:equalWidth="0" w:num="1">
            <w:col w:w="11240"/>
          </w:cols>
          <w:pgMar w:left="320" w:top="1054" w:right="339" w:bottom="1440" w:gutter="0" w:footer="0" w:header="0"/>
        </w:sectPr>
      </w:pPr>
    </w:p>
    <w:bookmarkStart w:id="270" w:name="page271"/>
    <w:bookmarkEnd w:id="270"/>
    <w:p>
      <w:pPr>
        <w:jc w:val="both"/>
        <w:spacing w:after="0"/>
        <w:tabs>
          <w:tab w:leader="none" w:pos="9920" w:val="left"/>
        </w:tabs>
        <w:rPr>
          <w:sz w:val="20"/>
          <w:szCs w:val="20"/>
          <w:color w:val="auto"/>
        </w:rPr>
      </w:pP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color w:val="auto"/>
        </w:rPr>
        <w:t>EX-8.1 10 d332302dex81.htm EX-8.1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18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SUBSIDIARIES OF CAPITAL PRODUCT PARTNERS 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companies are subsidiaries of Capital Product Partners L.P.: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Proportion of Ownership</w:t>
            </w:r>
          </w:p>
        </w:tc>
      </w:tr>
      <w:tr>
        <w:trPr>
          <w:trHeight w:val="221"/>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Interest</w:t>
            </w:r>
          </w:p>
        </w:tc>
      </w:tr>
      <w:tr>
        <w:trPr>
          <w:trHeight w:val="193"/>
        </w:trPr>
        <w:tc>
          <w:tcPr>
            <w:tcW w:w="71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Capital Product Operating L.L.C.</w:t>
            </w:r>
          </w:p>
        </w:tc>
        <w:tc>
          <w:tcPr>
            <w:tcW w:w="1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Marshall Islands</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Product Operating L.L.C.</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CPLP Shipping Holdings PLC</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CPLP Gas Operating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Patroklos Marine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Archimidis Container Carrier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Agamemnon Container Carrier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Anax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Hercules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Iason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Thiseas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Cronus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Dias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Poseidon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Atrotos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Deka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Jupiter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Nikitis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Liberia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Neos Container Carriers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Maistros Container Carriers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Filos Container Carriers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Panormos Container Carrier S.A</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Ektoras Container Carrier S.A.</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Assos Gas Carrier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Dias Gas Carrier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Atrotos Gas Carrier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Poseidon Gas Carrier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Maximus Gas Carrier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Kronos Gas Carrier Corp.</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17"/>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Hermes Gas Carrier Corp.</w:t>
            </w: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Marshall Islands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bl>
    <w:p>
      <w:pPr>
        <w:sectPr>
          <w:pgSz w:w="11900" w:h="16838" w:orient="portrait"/>
          <w:cols w:equalWidth="0" w:num="1">
            <w:col w:w="11240"/>
          </w:cols>
          <w:pgMar w:left="320" w:top="123"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Gerasimos (Jerry) Kalogiratos, certify that:</w:t>
      </w:r>
    </w:p>
    <w:p>
      <w:pPr>
        <w:spacing w:after="0" w:line="118" w:lineRule="exact"/>
        <w:rPr>
          <w:sz w:val="20"/>
          <w:szCs w:val="20"/>
          <w:color w:val="auto"/>
        </w:rPr>
      </w:pPr>
    </w:p>
    <w:p>
      <w:pPr>
        <w:ind w:left="780" w:hanging="429"/>
        <w:spacing w:after="0"/>
        <w:tabs>
          <w:tab w:leader="none" w:pos="78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Capital Product Partners L.P.;</w:t>
      </w:r>
    </w:p>
    <w:p>
      <w:pPr>
        <w:spacing w:after="0" w:line="105" w:lineRule="exact"/>
        <w:rPr>
          <w:rFonts w:ascii="Times New Roman" w:cs="Times New Roman" w:eastAsia="Times New Roman" w:hAnsi="Times New Roman"/>
          <w:sz w:val="17"/>
          <w:szCs w:val="17"/>
          <w:color w:val="auto"/>
        </w:rPr>
      </w:pPr>
    </w:p>
    <w:p>
      <w:pPr>
        <w:ind w:left="780" w:right="280" w:hanging="429"/>
        <w:spacing w:after="0" w:line="320" w:lineRule="auto"/>
        <w:tabs>
          <w:tab w:leader="none" w:pos="780"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Times New Roman" w:cs="Times New Roman" w:eastAsia="Times New Roman" w:hAnsi="Times New Roman"/>
          <w:sz w:val="16"/>
          <w:szCs w:val="16"/>
          <w:color w:val="auto"/>
        </w:rPr>
      </w:pPr>
    </w:p>
    <w:p>
      <w:pPr>
        <w:ind w:left="780" w:right="720" w:hanging="429"/>
        <w:spacing w:after="0" w:line="353" w:lineRule="auto"/>
        <w:tabs>
          <w:tab w:leader="none" w:pos="78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Times New Roman" w:cs="Times New Roman" w:eastAsia="Times New Roman" w:hAnsi="Times New Roman"/>
          <w:sz w:val="17"/>
          <w:szCs w:val="17"/>
          <w:color w:val="auto"/>
        </w:rPr>
      </w:pPr>
    </w:p>
    <w:p>
      <w:pPr>
        <w:ind w:left="780" w:right="360" w:hanging="429"/>
        <w:spacing w:after="0" w:line="297" w:lineRule="auto"/>
        <w:tabs>
          <w:tab w:leader="none" w:pos="78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0" w:lineRule="exact"/>
        <w:rPr>
          <w:rFonts w:ascii="Times New Roman" w:cs="Times New Roman" w:eastAsia="Times New Roman" w:hAnsi="Times New Roman"/>
          <w:sz w:val="17"/>
          <w:szCs w:val="17"/>
          <w:color w:val="auto"/>
        </w:rPr>
      </w:pPr>
    </w:p>
    <w:p>
      <w:pPr>
        <w:ind w:left="1140" w:right="160" w:hanging="351"/>
        <w:spacing w:after="0" w:line="266" w:lineRule="auto"/>
        <w:tabs>
          <w:tab w:leader="none" w:pos="114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7"/>
          <w:szCs w:val="17"/>
          <w:color w:val="auto"/>
        </w:rPr>
      </w:pPr>
    </w:p>
    <w:p>
      <w:pPr>
        <w:ind w:left="1140" w:right="140" w:hanging="351"/>
        <w:spacing w:after="0" w:line="266" w:lineRule="auto"/>
        <w:tabs>
          <w:tab w:leader="none" w:pos="114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7"/>
          <w:szCs w:val="17"/>
          <w:color w:val="auto"/>
        </w:rPr>
      </w:pPr>
    </w:p>
    <w:p>
      <w:pPr>
        <w:ind w:left="1140" w:right="200" w:hanging="351"/>
        <w:spacing w:after="0" w:line="287" w:lineRule="auto"/>
        <w:tabs>
          <w:tab w:leader="none" w:pos="114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140" w:right="260" w:hanging="351"/>
        <w:spacing w:after="0" w:line="320" w:lineRule="auto"/>
        <w:tabs>
          <w:tab w:leader="none" w:pos="1140" w:val="left"/>
        </w:tabs>
        <w:numPr>
          <w:ilvl w:val="1"/>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 w:lineRule="exact"/>
        <w:rPr>
          <w:rFonts w:ascii="Times New Roman" w:cs="Times New Roman" w:eastAsia="Times New Roman" w:hAnsi="Times New Roman"/>
          <w:sz w:val="16"/>
          <w:szCs w:val="16"/>
          <w:color w:val="auto"/>
        </w:rPr>
      </w:pPr>
    </w:p>
    <w:p>
      <w:pPr>
        <w:ind w:left="780" w:right="600" w:hanging="429"/>
        <w:spacing w:after="0" w:line="287" w:lineRule="auto"/>
        <w:tabs>
          <w:tab w:leader="none" w:pos="78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140" w:right="120" w:hanging="351"/>
        <w:spacing w:after="0" w:line="333" w:lineRule="auto"/>
        <w:tabs>
          <w:tab w:leader="none" w:pos="114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140" w:right="180" w:hanging="351"/>
        <w:spacing w:after="0" w:line="333" w:lineRule="auto"/>
        <w:tabs>
          <w:tab w:leader="none" w:pos="114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26,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789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Gerasimos (Jerry) Kalogiratos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40"/>
          </w:cols>
          <w:pgMar w:left="320" w:top="119"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Nikolaos Kalapotharakos, certify that:</w:t>
      </w:r>
    </w:p>
    <w:p>
      <w:pPr>
        <w:spacing w:after="0" w:line="118" w:lineRule="exact"/>
        <w:rPr>
          <w:sz w:val="20"/>
          <w:szCs w:val="20"/>
          <w:color w:val="auto"/>
        </w:rPr>
      </w:pPr>
    </w:p>
    <w:p>
      <w:pPr>
        <w:ind w:left="780" w:hanging="429"/>
        <w:spacing w:after="0"/>
        <w:tabs>
          <w:tab w:leader="none" w:pos="78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Capital Product Partners L.P.;</w:t>
      </w:r>
    </w:p>
    <w:p>
      <w:pPr>
        <w:spacing w:after="0" w:line="105" w:lineRule="exact"/>
        <w:rPr>
          <w:rFonts w:ascii="Times New Roman" w:cs="Times New Roman" w:eastAsia="Times New Roman" w:hAnsi="Times New Roman"/>
          <w:sz w:val="17"/>
          <w:szCs w:val="17"/>
          <w:color w:val="auto"/>
        </w:rPr>
      </w:pPr>
    </w:p>
    <w:p>
      <w:pPr>
        <w:ind w:left="780" w:right="280" w:hanging="429"/>
        <w:spacing w:after="0" w:line="320" w:lineRule="auto"/>
        <w:tabs>
          <w:tab w:leader="none" w:pos="780" w:val="left"/>
        </w:tabs>
        <w:numPr>
          <w:ilvl w:val="0"/>
          <w:numId w:val="4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Times New Roman" w:cs="Times New Roman" w:eastAsia="Times New Roman" w:hAnsi="Times New Roman"/>
          <w:sz w:val="16"/>
          <w:szCs w:val="16"/>
          <w:color w:val="auto"/>
        </w:rPr>
      </w:pPr>
    </w:p>
    <w:p>
      <w:pPr>
        <w:ind w:left="780" w:right="720" w:hanging="429"/>
        <w:spacing w:after="0" w:line="353" w:lineRule="auto"/>
        <w:tabs>
          <w:tab w:leader="none" w:pos="78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Times New Roman" w:cs="Times New Roman" w:eastAsia="Times New Roman" w:hAnsi="Times New Roman"/>
          <w:sz w:val="17"/>
          <w:szCs w:val="17"/>
          <w:color w:val="auto"/>
        </w:rPr>
      </w:pPr>
    </w:p>
    <w:p>
      <w:pPr>
        <w:ind w:left="780" w:right="360" w:hanging="429"/>
        <w:spacing w:after="0" w:line="297" w:lineRule="auto"/>
        <w:tabs>
          <w:tab w:leader="none" w:pos="78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0" w:lineRule="exact"/>
        <w:rPr>
          <w:rFonts w:ascii="Times New Roman" w:cs="Times New Roman" w:eastAsia="Times New Roman" w:hAnsi="Times New Roman"/>
          <w:sz w:val="17"/>
          <w:szCs w:val="17"/>
          <w:color w:val="auto"/>
        </w:rPr>
      </w:pPr>
    </w:p>
    <w:p>
      <w:pPr>
        <w:ind w:left="1140" w:right="160" w:hanging="351"/>
        <w:spacing w:after="0" w:line="266" w:lineRule="auto"/>
        <w:tabs>
          <w:tab w:leader="none" w:pos="11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7"/>
          <w:szCs w:val="17"/>
          <w:color w:val="auto"/>
        </w:rPr>
      </w:pPr>
    </w:p>
    <w:p>
      <w:pPr>
        <w:ind w:left="1140" w:right="140" w:hanging="351"/>
        <w:spacing w:after="0" w:line="266" w:lineRule="auto"/>
        <w:tabs>
          <w:tab w:leader="none" w:pos="11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7"/>
          <w:szCs w:val="17"/>
          <w:color w:val="auto"/>
        </w:rPr>
      </w:pPr>
    </w:p>
    <w:p>
      <w:pPr>
        <w:ind w:left="1140" w:right="200" w:hanging="351"/>
        <w:spacing w:after="0" w:line="287" w:lineRule="auto"/>
        <w:tabs>
          <w:tab w:leader="none" w:pos="11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140" w:right="260" w:hanging="351"/>
        <w:spacing w:after="0" w:line="320" w:lineRule="auto"/>
        <w:tabs>
          <w:tab w:leader="none" w:pos="1140" w:val="left"/>
        </w:tabs>
        <w:numPr>
          <w:ilvl w:val="1"/>
          <w:numId w:val="4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 w:lineRule="exact"/>
        <w:rPr>
          <w:rFonts w:ascii="Times New Roman" w:cs="Times New Roman" w:eastAsia="Times New Roman" w:hAnsi="Times New Roman"/>
          <w:sz w:val="16"/>
          <w:szCs w:val="16"/>
          <w:color w:val="auto"/>
        </w:rPr>
      </w:pPr>
    </w:p>
    <w:p>
      <w:pPr>
        <w:ind w:left="780" w:right="600" w:hanging="429"/>
        <w:spacing w:after="0" w:line="287" w:lineRule="auto"/>
        <w:tabs>
          <w:tab w:leader="none" w:pos="78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140" w:right="120" w:hanging="351"/>
        <w:spacing w:after="0" w:line="333" w:lineRule="auto"/>
        <w:tabs>
          <w:tab w:leader="none" w:pos="11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140" w:right="180" w:hanging="351"/>
        <w:spacing w:after="0" w:line="333" w:lineRule="auto"/>
        <w:tabs>
          <w:tab w:leader="none" w:pos="11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26,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7894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Nikolaos Kalapotharakos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40"/>
          </w:cols>
          <w:pgMar w:left="320" w:top="12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 Section 906 of the Sarbanes-Oxley Act of 2002</w:t>
      </w:r>
    </w:p>
    <w:p>
      <w:pPr>
        <w:spacing w:after="0" w:line="159"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6"/>
          <w:szCs w:val="16"/>
          <w:color w:val="auto"/>
        </w:rPr>
        <w:t>In connection with the annual report on Form 20-F of Capital Product Partners L.P., a master limited partnership organized under the laws of the Republic of the Marshall Islands (the “Company”), for the period ended December 31, 2022 as filed with the Securities and Exchange Commission on the date hereof (the “Report”),</w:t>
      </w:r>
    </w:p>
    <w:p>
      <w:pPr>
        <w:spacing w:after="0" w:line="1"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7"/>
          <w:szCs w:val="17"/>
          <w:color w:val="auto"/>
        </w:rPr>
        <w:t>the undersigned officer of the Company certifies pursuant to 18 U.S.C. Section 1350, as adopted pursuant to Section 906 of the Sarbanes-Oxley Act of 2002 that, to his knowledge:</w:t>
      </w:r>
    </w:p>
    <w:p>
      <w:pPr>
        <w:spacing w:after="0" w:line="34" w:lineRule="exact"/>
        <w:rPr>
          <w:sz w:val="20"/>
          <w:szCs w:val="20"/>
          <w:color w:val="auto"/>
        </w:rPr>
      </w:pPr>
    </w:p>
    <w:p>
      <w:pPr>
        <w:ind w:left="960" w:hanging="521"/>
        <w:spacing w:after="0"/>
        <w:tabs>
          <w:tab w:leader="none" w:pos="960"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7"/>
          <w:szCs w:val="17"/>
          <w:color w:val="auto"/>
        </w:rPr>
      </w:pPr>
    </w:p>
    <w:p>
      <w:pPr>
        <w:ind w:left="960" w:hanging="521"/>
        <w:spacing w:after="0"/>
        <w:tabs>
          <w:tab w:leader="none" w:pos="960"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26,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7894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Gerasimos (Jerry) Kalogiratos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40"/>
          </w:cols>
          <w:pgMar w:left="320" w:top="119"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 Section 906 of the Sarbanes-Oxley Act of 2002</w:t>
      </w:r>
    </w:p>
    <w:p>
      <w:pPr>
        <w:spacing w:after="0" w:line="159"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6"/>
          <w:szCs w:val="16"/>
          <w:color w:val="auto"/>
        </w:rPr>
        <w:t>In connection with the annual report on Form 20-F of Capital Product Partners L.P., a master limited partnership organized under the laws of the Republic of the Marshall Islands (the “Company”), for the period ended December 31, 2022 as filed with the Securities and Exchange Commission on the date hereof (the “Report”),</w:t>
      </w:r>
    </w:p>
    <w:p>
      <w:pPr>
        <w:spacing w:after="0" w:line="1"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7"/>
          <w:szCs w:val="17"/>
          <w:color w:val="auto"/>
        </w:rPr>
        <w:t>the undersigned officer of the Company certifies pursuant to 18 U.S.C. Section 1350, as adopted pursuant to Section 906 of the Sarbanes-Oxley Act of 2002 that, to his knowledge:</w:t>
      </w:r>
    </w:p>
    <w:p>
      <w:pPr>
        <w:spacing w:after="0" w:line="34" w:lineRule="exact"/>
        <w:rPr>
          <w:sz w:val="20"/>
          <w:szCs w:val="20"/>
          <w:color w:val="auto"/>
        </w:rPr>
      </w:pPr>
    </w:p>
    <w:p>
      <w:pPr>
        <w:ind w:left="960" w:hanging="521"/>
        <w:spacing w:after="0"/>
        <w:tabs>
          <w:tab w:leader="none" w:pos="960"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7"/>
          <w:szCs w:val="17"/>
          <w:color w:val="auto"/>
        </w:rPr>
      </w:pPr>
    </w:p>
    <w:p>
      <w:pPr>
        <w:ind w:left="960" w:hanging="521"/>
        <w:spacing w:after="0"/>
        <w:tabs>
          <w:tab w:leader="none" w:pos="960"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26,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7894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Nikolaos Kalapotharakos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71210C7"/>
    <w:multiLevelType w:val="hybridMultilevel"/>
    <w:lvl w:ilvl="0">
      <w:lvlJc w:val="left"/>
      <w:lvlText w:val="☐"/>
      <w:numFmt w:val="bullet"/>
      <w:start w:val="1"/>
    </w:lvl>
  </w:abstractNum>
  <w:abstractNum w:abstractNumId="1">
    <w:nsid w:val="217B22E4"/>
    <w:multiLevelType w:val="hybridMultilevel"/>
    <w:lvl w:ilvl="0">
      <w:lvlJc w:val="left"/>
      <w:lvlText w:val="☒"/>
      <w:numFmt w:val="bullet"/>
      <w:start w:val="1"/>
    </w:lvl>
  </w:abstractNum>
  <w:abstractNum w:abstractNumId="2">
    <w:nsid w:val="53E31A24"/>
    <w:multiLevelType w:val="hybridMultilevel"/>
    <w:lvl w:ilvl="0">
      <w:lvlJc w:val="left"/>
      <w:lvlText w:val="☐"/>
      <w:numFmt w:val="bullet"/>
      <w:start w:val="1"/>
    </w:lvl>
  </w:abstractNum>
  <w:abstractNum w:abstractNumId="3">
    <w:nsid w:val="6DC45E83"/>
    <w:multiLevelType w:val="hybridMultilevel"/>
    <w:lvl w:ilvl="0">
      <w:lvlJc w:val="left"/>
      <w:lvlText w:val="☐"/>
      <w:numFmt w:val="bullet"/>
      <w:start w:val="1"/>
    </w:lvl>
  </w:abstractNum>
  <w:abstractNum w:abstractNumId="4">
    <w:nsid w:val="17304A67"/>
    <w:multiLevelType w:val="hybridMultilevel"/>
    <w:lvl w:ilvl="0">
      <w:lvlJc w:val="left"/>
      <w:lvlText w:val="†"/>
      <w:numFmt w:val="bullet"/>
      <w:start w:val="1"/>
    </w:lvl>
  </w:abstractNum>
  <w:abstractNum w:abstractNumId="5">
    <w:nsid w:val="2BB180D8"/>
    <w:multiLevelType w:val="hybridMultilevel"/>
    <w:lvl w:ilvl="0">
      <w:lvlJc w:val="left"/>
      <w:lvlText w:val="•"/>
      <w:numFmt w:val="bullet"/>
      <w:start w:val="1"/>
    </w:lvl>
  </w:abstractNum>
  <w:abstractNum w:abstractNumId="6">
    <w:nsid w:val="556B69ED"/>
    <w:multiLevelType w:val="hybridMultilevel"/>
    <w:lvl w:ilvl="0">
      <w:lvlJc w:val="left"/>
      <w:lvlText w:val="•"/>
      <w:numFmt w:val="bullet"/>
      <w:start w:val="1"/>
    </w:lvl>
  </w:abstractNum>
  <w:abstractNum w:abstractNumId="7">
    <w:nsid w:val="70836196"/>
    <w:multiLevelType w:val="hybridMultilevel"/>
    <w:lvl w:ilvl="0">
      <w:lvlJc w:val="left"/>
      <w:lvlText w:val="%1."/>
      <w:numFmt w:val="upperLetter"/>
      <w:start w:val="1"/>
    </w:lvl>
  </w:abstractNum>
  <w:abstractNum w:abstractNumId="8">
    <w:nsid w:val="539F7F12"/>
    <w:multiLevelType w:val="hybridMultilevel"/>
    <w:lvl w:ilvl="0">
      <w:lvlJc w:val="left"/>
      <w:lvlText w:val="%1."/>
      <w:numFmt w:val="upperLetter"/>
      <w:start w:val="3"/>
    </w:lvl>
  </w:abstractNum>
  <w:abstractNum w:abstractNumId="9">
    <w:nsid w:val="2817E7EC"/>
    <w:multiLevelType w:val="hybridMultilevel"/>
    <w:lvl w:ilvl="0">
      <w:lvlJc w:val="left"/>
      <w:lvlText w:val="%1."/>
      <w:numFmt w:val="upperLetter"/>
      <w:start w:val="4"/>
    </w:lvl>
  </w:abstractNum>
  <w:abstractNum w:abstractNumId="10">
    <w:nsid w:val="71482545"/>
    <w:multiLevelType w:val="hybridMultilevel"/>
    <w:lvl w:ilvl="0">
      <w:lvlJc w:val="left"/>
      <w:lvlText w:val="•"/>
      <w:numFmt w:val="bullet"/>
      <w:start w:val="1"/>
    </w:lvl>
  </w:abstractNum>
  <w:abstractNum w:abstractNumId="11">
    <w:nsid w:val="17D78639"/>
    <w:multiLevelType w:val="hybridMultilevel"/>
    <w:lvl w:ilvl="0">
      <w:lvlJc w:val="left"/>
      <w:lvlText w:val="•"/>
      <w:numFmt w:val="bullet"/>
      <w:start w:val="1"/>
    </w:lvl>
    <w:lvl w:ilvl="1">
      <w:lvlJc w:val="left"/>
      <w:lvlText w:val="•"/>
      <w:numFmt w:val="bullet"/>
      <w:start w:val="1"/>
    </w:lvl>
  </w:abstractNum>
  <w:abstractNum w:abstractNumId="12">
    <w:nsid w:val="141D2302"/>
    <w:multiLevelType w:val="hybridMultilevel"/>
    <w:lvl w:ilvl="0">
      <w:lvlJc w:val="left"/>
      <w:lvlText w:val="•"/>
      <w:numFmt w:val="bullet"/>
      <w:start w:val="1"/>
    </w:lvl>
  </w:abstractNum>
  <w:abstractNum w:abstractNumId="13">
    <w:nsid w:val="407168D8"/>
    <w:multiLevelType w:val="hybridMultilevel"/>
    <w:lvl w:ilvl="0">
      <w:lvlJc w:val="left"/>
      <w:lvlText w:val="•"/>
      <w:numFmt w:val="bullet"/>
      <w:start w:val="1"/>
    </w:lvl>
  </w:abstractNum>
  <w:abstractNum w:abstractNumId="14">
    <w:nsid w:val="6A1B45E5"/>
    <w:multiLevelType w:val="hybridMultilevel"/>
    <w:lvl w:ilvl="0">
      <w:lvlJc w:val="left"/>
      <w:lvlText w:val="•"/>
      <w:numFmt w:val="bullet"/>
      <w:start w:val="1"/>
    </w:lvl>
  </w:abstractNum>
  <w:abstractNum w:abstractNumId="15">
    <w:nsid w:val="567BD50A"/>
    <w:multiLevelType w:val="hybridMultilevel"/>
    <w:lvl w:ilvl="0">
      <w:lvlJc w:val="left"/>
      <w:lvlText w:val="•"/>
      <w:numFmt w:val="bullet"/>
      <w:start w:val="1"/>
    </w:lvl>
  </w:abstractNum>
  <w:abstractNum w:abstractNumId="16">
    <w:nsid w:val="73BBD7F8"/>
    <w:multiLevelType w:val="hybridMultilevel"/>
    <w:lvl w:ilvl="0">
      <w:lvlJc w:val="left"/>
      <w:lvlText w:val="•"/>
      <w:numFmt w:val="bullet"/>
      <w:start w:val="1"/>
    </w:lvl>
  </w:abstractNum>
  <w:abstractNum w:abstractNumId="17">
    <w:nsid w:val="1876589D"/>
    <w:multiLevelType w:val="hybridMultilevel"/>
    <w:lvl w:ilvl="0">
      <w:lvlJc w:val="left"/>
      <w:lvlText w:val="•"/>
      <w:numFmt w:val="bullet"/>
      <w:start w:val="1"/>
    </w:lvl>
  </w:abstractNum>
  <w:abstractNum w:abstractNumId="18">
    <w:nsid w:val="327FAC77"/>
    <w:multiLevelType w:val="hybridMultilevel"/>
    <w:lvl w:ilvl="0">
      <w:lvlJc w:val="left"/>
      <w:lvlText w:val="•"/>
      <w:numFmt w:val="bullet"/>
      <w:start w:val="1"/>
    </w:lvl>
  </w:abstractNum>
  <w:abstractNum w:abstractNumId="19">
    <w:nsid w:val="5A606509"/>
    <w:multiLevelType w:val="hybridMultilevel"/>
    <w:lvl w:ilvl="0">
      <w:lvlJc w:val="left"/>
      <w:lvlText w:val="•"/>
      <w:numFmt w:val="bullet"/>
      <w:start w:val="1"/>
    </w:lvl>
  </w:abstractNum>
  <w:abstractNum w:abstractNumId="20">
    <w:nsid w:val="6F38E6D1"/>
    <w:multiLevelType w:val="hybridMultilevel"/>
    <w:lvl w:ilvl="0">
      <w:lvlJc w:val="left"/>
      <w:lvlText w:val="•"/>
      <w:numFmt w:val="bullet"/>
      <w:start w:val="1"/>
    </w:lvl>
  </w:abstractNum>
  <w:abstractNum w:abstractNumId="21">
    <w:nsid w:val="46111BA5"/>
    <w:multiLevelType w:val="hybridMultilevel"/>
    <w:lvl w:ilvl="0">
      <w:lvlJc w:val="left"/>
      <w:lvlText w:val="•"/>
      <w:numFmt w:val="bullet"/>
      <w:start w:val="1"/>
    </w:lvl>
  </w:abstractNum>
  <w:abstractNum w:abstractNumId="22">
    <w:nsid w:val="5E963896"/>
    <w:multiLevelType w:val="hybridMultilevel"/>
    <w:lvl w:ilvl="0">
      <w:lvlJc w:val="left"/>
      <w:lvlText w:val="•"/>
      <w:numFmt w:val="bullet"/>
      <w:start w:val="1"/>
    </w:lvl>
  </w:abstractNum>
  <w:abstractNum w:abstractNumId="23">
    <w:nsid w:val="775BA7C1"/>
    <w:multiLevelType w:val="hybridMultilevel"/>
    <w:lvl w:ilvl="0">
      <w:lvlJc w:val="left"/>
      <w:lvlText w:val="•"/>
      <w:numFmt w:val="bullet"/>
      <w:start w:val="1"/>
    </w:lvl>
  </w:abstractNum>
  <w:abstractNum w:abstractNumId="24">
    <w:nsid w:val="1DD6D6F4"/>
    <w:multiLevelType w:val="hybridMultilevel"/>
    <w:lvl w:ilvl="0">
      <w:lvlJc w:val="left"/>
      <w:lvlText w:val="•"/>
      <w:numFmt w:val="bullet"/>
      <w:start w:val="1"/>
    </w:lvl>
  </w:abstractNum>
  <w:abstractNum w:abstractNumId="25">
    <w:nsid w:val="769A091F"/>
    <w:multiLevelType w:val="hybridMultilevel"/>
    <w:lvl w:ilvl="0">
      <w:lvlJc w:val="left"/>
      <w:lvlText w:val="•"/>
      <w:numFmt w:val="bullet"/>
      <w:start w:val="1"/>
    </w:lvl>
  </w:abstractNum>
  <w:abstractNum w:abstractNumId="26">
    <w:nsid w:val="4695AE95"/>
    <w:multiLevelType w:val="hybridMultilevel"/>
    <w:lvl w:ilvl="0">
      <w:lvlJc w:val="left"/>
      <w:lvlText w:val="•"/>
      <w:numFmt w:val="bullet"/>
      <w:start w:val="1"/>
    </w:lvl>
  </w:abstractNum>
  <w:abstractNum w:abstractNumId="27">
    <w:nsid w:val="777A4EAA"/>
    <w:multiLevelType w:val="hybridMultilevel"/>
    <w:lvl w:ilvl="0">
      <w:lvlJc w:val="left"/>
      <w:lvlText w:val="•"/>
      <w:numFmt w:val="bullet"/>
      <w:start w:val="1"/>
    </w:lvl>
  </w:abstractNum>
  <w:abstractNum w:abstractNumId="28">
    <w:nsid w:val="3F48B982"/>
    <w:multiLevelType w:val="hybridMultilevel"/>
    <w:lvl w:ilvl="0">
      <w:lvlJc w:val="left"/>
      <w:lvlText w:val="•"/>
      <w:numFmt w:val="bullet"/>
      <w:start w:val="1"/>
    </w:lvl>
  </w:abstractNum>
  <w:abstractNum w:abstractNumId="29">
    <w:nsid w:val="46BA8FCA"/>
    <w:multiLevelType w:val="hybridMultilevel"/>
    <w:lvl w:ilvl="0">
      <w:lvlJc w:val="left"/>
      <w:lvlText w:val="•"/>
      <w:numFmt w:val="bullet"/>
      <w:start w:val="1"/>
    </w:lvl>
  </w:abstractNum>
  <w:abstractNum w:abstractNumId="30">
    <w:nsid w:val="7835626C"/>
    <w:multiLevelType w:val="hybridMultilevel"/>
    <w:lvl w:ilvl="0">
      <w:lvlJc w:val="left"/>
      <w:lvlText w:val="•"/>
      <w:numFmt w:val="bullet"/>
      <w:start w:val="1"/>
    </w:lvl>
  </w:abstractNum>
  <w:abstractNum w:abstractNumId="31">
    <w:nsid w:val="665ACA49"/>
    <w:multiLevelType w:val="hybridMultilevel"/>
    <w:lvl w:ilvl="0">
      <w:lvlJc w:val="left"/>
      <w:lvlText w:val="•"/>
      <w:numFmt w:val="bullet"/>
      <w:start w:val="1"/>
    </w:lvl>
  </w:abstractNum>
  <w:abstractNum w:abstractNumId="32">
    <w:nsid w:val="6835B2AE"/>
    <w:multiLevelType w:val="hybridMultilevel"/>
    <w:lvl w:ilvl="0">
      <w:lvlJc w:val="left"/>
      <w:lvlText w:val="•"/>
      <w:numFmt w:val="bullet"/>
      <w:start w:val="1"/>
    </w:lvl>
  </w:abstractNum>
  <w:abstractNum w:abstractNumId="33">
    <w:nsid w:val="4C187C90"/>
    <w:multiLevelType w:val="hybridMultilevel"/>
    <w:lvl w:ilvl="0">
      <w:lvlJc w:val="left"/>
      <w:lvlText w:val="•"/>
      <w:numFmt w:val="bullet"/>
      <w:start w:val="1"/>
    </w:lvl>
  </w:abstractNum>
  <w:abstractNum w:abstractNumId="34">
    <w:nsid w:val="541F28CD"/>
    <w:multiLevelType w:val="hybridMultilevel"/>
    <w:lvl w:ilvl="0">
      <w:lvlJc w:val="left"/>
      <w:lvlText w:val="%1."/>
      <w:numFmt w:val="upperLetter"/>
      <w:start w:val="1"/>
    </w:lvl>
  </w:abstractNum>
  <w:abstractNum w:abstractNumId="35">
    <w:nsid w:val="7F65FD16"/>
    <w:multiLevelType w:val="hybridMultilevel"/>
    <w:lvl w:ilvl="0">
      <w:lvlJc w:val="left"/>
      <w:lvlText w:val="%1."/>
      <w:numFmt w:val="decimal"/>
      <w:start w:val="950"/>
    </w:lvl>
  </w:abstractNum>
  <w:abstractNum w:abstractNumId="36">
    <w:nsid w:val="77C9FD68"/>
    <w:multiLevelType w:val="hybridMultilevel"/>
    <w:lvl w:ilvl="0">
      <w:lvlJc w:val="left"/>
      <w:lvlText w:val="(%1)"/>
      <w:numFmt w:val="lowerRoman"/>
      <w:start w:val="2"/>
    </w:lvl>
  </w:abstractNum>
  <w:abstractNum w:abstractNumId="37">
    <w:nsid w:val="298A92BA"/>
    <w:multiLevelType w:val="hybridMultilevel"/>
    <w:lvl w:ilvl="0">
      <w:lvlJc w:val="left"/>
      <w:lvlText w:val="(%1)"/>
      <w:numFmt w:val="lowerRoman"/>
      <w:start w:val="1"/>
    </w:lvl>
  </w:abstractNum>
  <w:abstractNum w:abstractNumId="38">
    <w:nsid w:val="6FE95EAC"/>
    <w:multiLevelType w:val="hybridMultilevel"/>
    <w:lvl w:ilvl="0">
      <w:lvlJc w:val="left"/>
      <w:lvlText w:val="%1."/>
      <w:numFmt w:val="upperLetter"/>
      <w:start w:val="2"/>
    </w:lvl>
  </w:abstractNum>
  <w:abstractNum w:abstractNumId="39">
    <w:nsid w:val="4B697C7A"/>
    <w:multiLevelType w:val="hybridMultilevel"/>
    <w:lvl w:ilvl="0">
      <w:lvlJc w:val="left"/>
      <w:lvlText w:val="•"/>
      <w:numFmt w:val="bullet"/>
      <w:start w:val="1"/>
    </w:lvl>
  </w:abstractNum>
  <w:abstractNum w:abstractNumId="40">
    <w:nsid w:val="51A27AA6"/>
    <w:multiLevelType w:val="hybridMultilevel"/>
    <w:lvl w:ilvl="0">
      <w:lvlJc w:val="left"/>
      <w:lvlText w:val="•"/>
      <w:numFmt w:val="bullet"/>
      <w:start w:val="1"/>
    </w:lvl>
  </w:abstractNum>
  <w:abstractNum w:abstractNumId="41">
    <w:nsid w:val="613183F2"/>
    <w:multiLevelType w:val="hybridMultilevel"/>
    <w:lvl w:ilvl="0">
      <w:lvlJc w:val="left"/>
      <w:lvlText w:val="•"/>
      <w:numFmt w:val="bullet"/>
      <w:start w:val="1"/>
    </w:lvl>
  </w:abstractNum>
  <w:abstractNum w:abstractNumId="42">
    <w:nsid w:val="634102B4"/>
    <w:multiLevelType w:val="hybridMultilevel"/>
    <w:lvl w:ilvl="0">
      <w:lvlJc w:val="left"/>
      <w:lvlText w:val="•"/>
      <w:numFmt w:val="bullet"/>
      <w:start w:val="1"/>
    </w:lvl>
  </w:abstractNum>
  <w:abstractNum w:abstractNumId="43">
    <w:nsid w:val="65BF9DA8"/>
    <w:multiLevelType w:val="hybridMultilevel"/>
    <w:lvl w:ilvl="0">
      <w:lvlJc w:val="left"/>
      <w:lvlText w:val="(%1)"/>
      <w:numFmt w:val="decimal"/>
      <w:start w:val="1"/>
    </w:lvl>
  </w:abstractNum>
  <w:abstractNum w:abstractNumId="44">
    <w:nsid w:val="21A2ECCA"/>
    <w:multiLevelType w:val="hybridMultilevel"/>
    <w:lvl w:ilvl="0">
      <w:lvlJc w:val="left"/>
      <w:lvlText w:val="(%1)"/>
      <w:numFmt w:val="decimal"/>
      <w:start w:val="7"/>
    </w:lvl>
  </w:abstractNum>
  <w:abstractNum w:abstractNumId="45">
    <w:nsid w:val="4D5C4899"/>
    <w:multiLevelType w:val="hybridMultilevel"/>
    <w:lvl w:ilvl="0">
      <w:lvlJc w:val="left"/>
      <w:lvlText w:val="•"/>
      <w:numFmt w:val="bullet"/>
      <w:start w:val="1"/>
    </w:lvl>
  </w:abstractNum>
  <w:abstractNum w:abstractNumId="46">
    <w:nsid w:val="3C3B72B2"/>
    <w:multiLevelType w:val="hybridMultilevel"/>
    <w:lvl w:ilvl="0">
      <w:lvlJc w:val="left"/>
      <w:lvlText w:val="•"/>
      <w:numFmt w:val="bullet"/>
      <w:start w:val="1"/>
    </w:lvl>
  </w:abstractNum>
  <w:abstractNum w:abstractNumId="47">
    <w:nsid w:val="155EC4C2"/>
    <w:multiLevelType w:val="hybridMultilevel"/>
    <w:lvl w:ilvl="0">
      <w:lvlJc w:val="left"/>
      <w:lvlText w:val="•"/>
      <w:numFmt w:val="bullet"/>
      <w:start w:val="1"/>
    </w:lvl>
  </w:abstractNum>
  <w:abstractNum w:abstractNumId="48">
    <w:nsid w:val="65D2A137"/>
    <w:multiLevelType w:val="hybridMultilevel"/>
    <w:lvl w:ilvl="0">
      <w:lvlJc w:val="left"/>
      <w:lvlText w:val="•"/>
      <w:numFmt w:val="bullet"/>
      <w:start w:val="1"/>
    </w:lvl>
  </w:abstractNum>
  <w:abstractNum w:abstractNumId="49">
    <w:nsid w:val="6EBB1F2A"/>
    <w:multiLevelType w:val="hybridMultilevel"/>
    <w:lvl w:ilvl="0">
      <w:lvlJc w:val="left"/>
      <w:lvlText w:val="-"/>
      <w:numFmt w:val="bullet"/>
      <w:start w:val="1"/>
    </w:lvl>
  </w:abstractNum>
  <w:abstractNum w:abstractNumId="50">
    <w:nsid w:val="6FBF29CB"/>
    <w:multiLevelType w:val="hybridMultilevel"/>
    <w:lvl w:ilvl="0">
      <w:lvlJc w:val="left"/>
      <w:lvlText w:val="%1."/>
      <w:numFmt w:val="upperLetter"/>
      <w:start w:val="3"/>
    </w:lvl>
  </w:abstractNum>
  <w:abstractNum w:abstractNumId="51">
    <w:nsid w:val="550B8808"/>
    <w:multiLevelType w:val="hybridMultilevel"/>
    <w:lvl w:ilvl="0">
      <w:lvlJc w:val="left"/>
      <w:lvlText w:val="%1."/>
      <w:numFmt w:val="upperLetter"/>
      <w:start w:val="4"/>
    </w:lvl>
  </w:abstractNum>
  <w:abstractNum w:abstractNumId="52">
    <w:nsid w:val="34CC3ACF"/>
    <w:multiLevelType w:val="hybridMultilevel"/>
    <w:lvl w:ilvl="0">
      <w:lvlJc w:val="left"/>
      <w:lvlText w:val="%1."/>
      <w:numFmt w:val="upperLetter"/>
      <w:start w:val="1"/>
    </w:lvl>
  </w:abstractNum>
  <w:abstractNum w:abstractNumId="53">
    <w:nsid w:val="4E556261"/>
    <w:multiLevelType w:val="hybridMultilevel"/>
    <w:lvl w:ilvl="0">
      <w:lvlJc w:val="left"/>
      <w:lvlText w:val="•"/>
      <w:numFmt w:val="bullet"/>
      <w:start w:val="1"/>
    </w:lvl>
  </w:abstractNum>
  <w:abstractNum w:abstractNumId="54">
    <w:nsid w:val="4C672FC9"/>
    <w:multiLevelType w:val="hybridMultilevel"/>
    <w:lvl w:ilvl="0">
      <w:lvlJc w:val="left"/>
      <w:lvlText w:val="•"/>
      <w:numFmt w:val="bullet"/>
      <w:start w:val="1"/>
    </w:lvl>
  </w:abstractNum>
  <w:abstractNum w:abstractNumId="55">
    <w:nsid w:val="52A311C3"/>
    <w:multiLevelType w:val="hybridMultilevel"/>
    <w:lvl w:ilvl="0">
      <w:lvlJc w:val="left"/>
      <w:lvlText w:val="•"/>
      <w:numFmt w:val="bullet"/>
      <w:start w:val="1"/>
    </w:lvl>
  </w:abstractNum>
  <w:abstractNum w:abstractNumId="56">
    <w:nsid w:val="44EF6B80"/>
    <w:multiLevelType w:val="hybridMultilevel"/>
    <w:lvl w:ilvl="0">
      <w:lvlJc w:val="left"/>
      <w:lvlText w:val="%1."/>
      <w:numFmt w:val="upperLetter"/>
      <w:start w:val="2"/>
    </w:lvl>
  </w:abstractNum>
  <w:abstractNum w:abstractNumId="57">
    <w:nsid w:val="12FCDE5E"/>
    <w:multiLevelType w:val="hybridMultilevel"/>
    <w:lvl w:ilvl="0">
      <w:lvlJc w:val="left"/>
      <w:lvlText w:val="•"/>
      <w:numFmt w:val="bullet"/>
      <w:start w:val="1"/>
    </w:lvl>
  </w:abstractNum>
  <w:abstractNum w:abstractNumId="58">
    <w:nsid w:val="4A1D606E"/>
    <w:multiLevelType w:val="hybridMultilevel"/>
    <w:lvl w:ilvl="0">
      <w:lvlJc w:val="left"/>
      <w:lvlText w:val="•"/>
      <w:numFmt w:val="bullet"/>
      <w:start w:val="1"/>
    </w:lvl>
  </w:abstractNum>
  <w:abstractNum w:abstractNumId="59">
    <w:nsid w:val="4382503"/>
    <w:multiLevelType w:val="hybridMultilevel"/>
    <w:lvl w:ilvl="0">
      <w:lvlJc w:val="left"/>
      <w:lvlText w:val="•"/>
      <w:numFmt w:val="bullet"/>
      <w:start w:val="1"/>
    </w:lvl>
  </w:abstractNum>
  <w:abstractNum w:abstractNumId="60">
    <w:nsid w:val="59B76E28"/>
    <w:multiLevelType w:val="hybridMultilevel"/>
    <w:lvl w:ilvl="0">
      <w:lvlJc w:val="left"/>
      <w:lvlText w:val="%1."/>
      <w:numFmt w:val="upperLetter"/>
      <w:start w:val="3"/>
    </w:lvl>
  </w:abstractNum>
  <w:abstractNum w:abstractNumId="61">
    <w:nsid w:val="4252C2DA"/>
    <w:multiLevelType w:val="hybridMultilevel"/>
    <w:lvl w:ilvl="0">
      <w:lvlJc w:val="left"/>
      <w:lvlText w:val="%1."/>
      <w:numFmt w:val="upperLetter"/>
      <w:start w:val="4"/>
    </w:lvl>
  </w:abstractNum>
  <w:abstractNum w:abstractNumId="62">
    <w:nsid w:val="6A92EF4C"/>
    <w:multiLevelType w:val="hybridMultilevel"/>
    <w:lvl w:ilvl="0">
      <w:lvlJc w:val="left"/>
      <w:lvlText w:val="%1."/>
      <w:numFmt w:val="upperLetter"/>
      <w:start w:val="5"/>
    </w:lvl>
  </w:abstractNum>
  <w:abstractNum w:abstractNumId="63">
    <w:nsid w:val="41ED20D7"/>
    <w:multiLevelType w:val="hybridMultilevel"/>
    <w:lvl w:ilvl="0">
      <w:lvlJc w:val="left"/>
      <w:lvlText w:val="*"/>
      <w:numFmt w:val="bullet"/>
      <w:start w:val="1"/>
    </w:lvl>
  </w:abstractNum>
  <w:abstractNum w:abstractNumId="64">
    <w:nsid w:val="E6B3F6A"/>
    <w:multiLevelType w:val="hybridMultilevel"/>
    <w:lvl w:ilvl="0">
      <w:lvlJc w:val="left"/>
      <w:lvlText w:val="•"/>
      <w:numFmt w:val="bullet"/>
      <w:start w:val="1"/>
    </w:lvl>
  </w:abstractNum>
  <w:abstractNum w:abstractNumId="65">
    <w:nsid w:val="3EB21819"/>
    <w:multiLevelType w:val="hybridMultilevel"/>
    <w:lvl w:ilvl="0">
      <w:lvlJc w:val="left"/>
      <w:lvlText w:val="•"/>
      <w:numFmt w:val="bullet"/>
      <w:start w:val="1"/>
    </w:lvl>
  </w:abstractNum>
  <w:abstractNum w:abstractNumId="66">
    <w:nsid w:val="41531DED"/>
    <w:multiLevelType w:val="hybridMultilevel"/>
    <w:lvl w:ilvl="0">
      <w:lvlJc w:val="left"/>
      <w:lvlText w:val="%1."/>
      <w:numFmt w:val="upperLetter"/>
      <w:start w:val="1"/>
    </w:lvl>
  </w:abstractNum>
  <w:abstractNum w:abstractNumId="67">
    <w:nsid w:val="6353CD2"/>
    <w:multiLevelType w:val="hybridMultilevel"/>
    <w:lvl w:ilvl="0">
      <w:lvlJc w:val="left"/>
      <w:lvlText w:val="(%1)"/>
      <w:numFmt w:val="decimal"/>
      <w:start w:val="1"/>
    </w:lvl>
  </w:abstractNum>
  <w:abstractNum w:abstractNumId="68">
    <w:nsid w:val="683CAAD3"/>
    <w:multiLevelType w:val="hybridMultilevel"/>
    <w:lvl w:ilvl="0">
      <w:lvlJc w:val="left"/>
      <w:lvlText w:val="%1."/>
      <w:numFmt w:val="upperLetter"/>
      <w:start w:val="2"/>
    </w:lvl>
  </w:abstractNum>
  <w:abstractNum w:abstractNumId="69">
    <w:nsid w:val="313C7C99"/>
    <w:multiLevelType w:val="hybridMultilevel"/>
    <w:lvl w:ilvl="0">
      <w:lvlJc w:val="left"/>
      <w:lvlText w:val="%1."/>
      <w:numFmt w:val="upperLetter"/>
      <w:start w:val="3"/>
    </w:lvl>
  </w:abstractNum>
  <w:abstractNum w:abstractNumId="70">
    <w:nsid w:val="519EB94C"/>
    <w:multiLevelType w:val="hybridMultilevel"/>
    <w:lvl w:ilvl="0">
      <w:lvlJc w:val="left"/>
      <w:lvlText w:val="%1."/>
      <w:numFmt w:val="upperLetter"/>
      <w:start w:val="4"/>
    </w:lvl>
  </w:abstractNum>
  <w:abstractNum w:abstractNumId="71">
    <w:nsid w:val="39DF2579"/>
    <w:multiLevelType w:val="hybridMultilevel"/>
    <w:lvl w:ilvl="0">
      <w:lvlJc w:val="left"/>
      <w:lvlText w:val="%1."/>
      <w:numFmt w:val="upperLetter"/>
      <w:start w:val="5"/>
    </w:lvl>
  </w:abstractNum>
  <w:abstractNum w:abstractNumId="72">
    <w:nsid w:val="126E008B"/>
    <w:multiLevelType w:val="hybridMultilevel"/>
    <w:lvl w:ilvl="0">
      <w:lvlJc w:val="left"/>
      <w:lvlText w:val="·"/>
      <w:numFmt w:val="bullet"/>
      <w:start w:val="1"/>
    </w:lvl>
  </w:abstractNum>
  <w:abstractNum w:abstractNumId="73">
    <w:nsid w:val="34DFBC00"/>
    <w:multiLevelType w:val="hybridMultilevel"/>
    <w:lvl w:ilvl="0">
      <w:lvlJc w:val="left"/>
      <w:lvlText w:val="%1."/>
      <w:numFmt w:val="upperLetter"/>
      <w:start w:val="1"/>
    </w:lvl>
  </w:abstractNum>
  <w:abstractNum w:abstractNumId="74">
    <w:nsid w:val="1F9EC322"/>
    <w:multiLevelType w:val="hybridMultilevel"/>
    <w:lvl w:ilvl="0">
      <w:lvlJc w:val="left"/>
      <w:lvlText w:val="(%1)"/>
      <w:numFmt w:val="decimal"/>
      <w:start w:val="1"/>
    </w:lvl>
  </w:abstractNum>
  <w:abstractNum w:abstractNumId="75">
    <w:nsid w:val="3410ED56"/>
    <w:multiLevelType w:val="hybridMultilevel"/>
    <w:lvl w:ilvl="0">
      <w:lvlJc w:val="left"/>
      <w:lvlText w:val="%1."/>
      <w:numFmt w:val="upperLetter"/>
      <w:start w:val="2"/>
    </w:lvl>
  </w:abstractNum>
  <w:abstractNum w:abstractNumId="76">
    <w:nsid w:val="23C049A"/>
    <w:multiLevelType w:val="hybridMultilevel"/>
    <w:lvl w:ilvl="0">
      <w:lvlJc w:val="left"/>
      <w:lvlText w:val="•"/>
      <w:numFmt w:val="bullet"/>
      <w:start w:val="1"/>
    </w:lvl>
  </w:abstractNum>
  <w:abstractNum w:abstractNumId="77">
    <w:nsid w:val="5BDA35D4"/>
    <w:multiLevelType w:val="hybridMultilevel"/>
    <w:lvl w:ilvl="0">
      <w:lvlJc w:val="left"/>
      <w:lvlText w:val="•"/>
      <w:numFmt w:val="bullet"/>
      <w:start w:val="1"/>
    </w:lvl>
  </w:abstractNum>
  <w:abstractNum w:abstractNumId="78">
    <w:nsid w:val="496FB218"/>
    <w:multiLevelType w:val="hybridMultilevel"/>
    <w:lvl w:ilvl="0">
      <w:lvlJc w:val="left"/>
      <w:lvlText w:val="•"/>
      <w:numFmt w:val="bullet"/>
      <w:start w:val="1"/>
    </w:lvl>
  </w:abstractNum>
  <w:abstractNum w:abstractNumId="79">
    <w:nsid w:val="680EA5D1"/>
    <w:multiLevelType w:val="hybridMultilevel"/>
    <w:lvl w:ilvl="0">
      <w:lvlJc w:val="left"/>
      <w:lvlText w:val="•"/>
      <w:numFmt w:val="bullet"/>
      <w:start w:val="1"/>
    </w:lvl>
  </w:abstractNum>
  <w:abstractNum w:abstractNumId="80">
    <w:nsid w:val="4A9554FE"/>
    <w:multiLevelType w:val="hybridMultilevel"/>
    <w:lvl w:ilvl="0">
      <w:lvlJc w:val="left"/>
      <w:lvlText w:val="%1."/>
      <w:numFmt w:val="upperLetter"/>
      <w:start w:val="3"/>
    </w:lvl>
  </w:abstractNum>
  <w:abstractNum w:abstractNumId="81">
    <w:nsid w:val="392EDBE4"/>
    <w:multiLevelType w:val="hybridMultilevel"/>
    <w:lvl w:ilvl="0">
      <w:lvlJc w:val="left"/>
      <w:lvlText w:val="%1."/>
      <w:numFmt w:val="upperLetter"/>
      <w:start w:val="1"/>
    </w:lvl>
  </w:abstractNum>
  <w:abstractNum w:abstractNumId="82">
    <w:nsid w:val="3D1A2DD9"/>
    <w:multiLevelType w:val="hybridMultilevel"/>
    <w:lvl w:ilvl="0">
      <w:lvlJc w:val="left"/>
      <w:lvlText w:val="•"/>
      <w:numFmt w:val="bullet"/>
      <w:start w:val="1"/>
    </w:lvl>
  </w:abstractNum>
  <w:abstractNum w:abstractNumId="83">
    <w:nsid w:val="7F618FCD"/>
    <w:multiLevelType w:val="hybridMultilevel"/>
    <w:lvl w:ilvl="0">
      <w:lvlJc w:val="left"/>
      <w:lvlText w:val="•"/>
      <w:numFmt w:val="bullet"/>
      <w:start w:val="1"/>
    </w:lvl>
  </w:abstractNum>
  <w:abstractNum w:abstractNumId="84">
    <w:nsid w:val="7843E45"/>
    <w:multiLevelType w:val="hybridMultilevel"/>
    <w:lvl w:ilvl="0">
      <w:lvlJc w:val="left"/>
      <w:lvlText w:val="•"/>
      <w:numFmt w:val="bullet"/>
      <w:start w:val="1"/>
    </w:lvl>
  </w:abstractNum>
  <w:abstractNum w:abstractNumId="85">
    <w:nsid w:val="9815DA3"/>
    <w:multiLevelType w:val="hybridMultilevel"/>
    <w:lvl w:ilvl="0">
      <w:lvlJc w:val="left"/>
      <w:lvlText w:val="•"/>
      <w:numFmt w:val="bullet"/>
      <w:start w:val="1"/>
    </w:lvl>
  </w:abstractNum>
  <w:abstractNum w:abstractNumId="86">
    <w:nsid w:val="5204A191"/>
    <w:multiLevelType w:val="hybridMultilevel"/>
    <w:lvl w:ilvl="0">
      <w:lvlJc w:val="left"/>
      <w:lvlText w:val="•"/>
      <w:numFmt w:val="bullet"/>
      <w:start w:val="1"/>
    </w:lvl>
  </w:abstractNum>
  <w:abstractNum w:abstractNumId="87">
    <w:nsid w:val="4C73A9C6"/>
    <w:multiLevelType w:val="hybridMultilevel"/>
    <w:lvl w:ilvl="0">
      <w:lvlJc w:val="left"/>
      <w:lvlText w:val="•"/>
      <w:numFmt w:val="bullet"/>
      <w:start w:val="1"/>
    </w:lvl>
  </w:abstractNum>
  <w:abstractNum w:abstractNumId="88">
    <w:nsid w:val="1C7E3C01"/>
    <w:multiLevelType w:val="hybridMultilevel"/>
    <w:lvl w:ilvl="0">
      <w:lvlJc w:val="left"/>
      <w:lvlText w:val="•"/>
      <w:numFmt w:val="bullet"/>
      <w:start w:val="1"/>
    </w:lvl>
  </w:abstractNum>
  <w:abstractNum w:abstractNumId="89">
    <w:nsid w:val="1C2201FF"/>
    <w:multiLevelType w:val="hybridMultilevel"/>
    <w:lvl w:ilvl="0">
      <w:lvlJc w:val="left"/>
      <w:lvlText w:val="•"/>
      <w:numFmt w:val="bullet"/>
      <w:start w:val="1"/>
    </w:lvl>
  </w:abstractNum>
  <w:abstractNum w:abstractNumId="90">
    <w:nsid w:val="50ABCEC9"/>
    <w:multiLevelType w:val="hybridMultilevel"/>
    <w:lvl w:ilvl="0">
      <w:lvlJc w:val="left"/>
      <w:lvlText w:val="(%1)"/>
      <w:numFmt w:val="decimal"/>
      <w:start w:val="1"/>
    </w:lvl>
  </w:abstractNum>
  <w:abstractNum w:abstractNumId="91">
    <w:nsid w:val="7635AA2A"/>
    <w:multiLevelType w:val="hybridMultilevel"/>
    <w:lvl w:ilvl="0">
      <w:lvlJc w:val="left"/>
      <w:lvlText w:val="•"/>
      <w:numFmt w:val="bullet"/>
      <w:start w:val="1"/>
    </w:lvl>
  </w:abstractNum>
  <w:abstractNum w:abstractNumId="92">
    <w:nsid w:val="5E74C4D9"/>
    <w:multiLevelType w:val="hybridMultilevel"/>
    <w:lvl w:ilvl="0">
      <w:lvlJc w:val="left"/>
      <w:lvlText w:val="•"/>
      <w:numFmt w:val="bullet"/>
      <w:start w:val="1"/>
    </w:lvl>
  </w:abstractNum>
  <w:abstractNum w:abstractNumId="93">
    <w:nsid w:val="3B3EBE15"/>
    <w:multiLevelType w:val="hybridMultilevel"/>
    <w:lvl w:ilvl="0">
      <w:lvlJc w:val="left"/>
      <w:lvlText w:val="•"/>
      <w:numFmt w:val="bullet"/>
      <w:start w:val="1"/>
    </w:lvl>
  </w:abstractNum>
  <w:abstractNum w:abstractNumId="94">
    <w:nsid w:val="3822CB01"/>
    <w:multiLevelType w:val="hybridMultilevel"/>
    <w:lvl w:ilvl="0">
      <w:lvlJc w:val="left"/>
      <w:lvlText w:val="•"/>
      <w:numFmt w:val="bullet"/>
      <w:start w:val="1"/>
    </w:lvl>
  </w:abstractNum>
  <w:abstractNum w:abstractNumId="95">
    <w:nsid w:val="6CE00443"/>
    <w:multiLevelType w:val="hybridMultilevel"/>
    <w:lvl w:ilvl="0">
      <w:lvlJc w:val="left"/>
      <w:lvlText w:val="%1."/>
      <w:numFmt w:val="upperLetter"/>
      <w:start w:val="2"/>
    </w:lvl>
  </w:abstractNum>
  <w:abstractNum w:abstractNumId="96">
    <w:nsid w:val="79F0D62F"/>
    <w:multiLevelType w:val="hybridMultilevel"/>
    <w:lvl w:ilvl="0">
      <w:lvlJc w:val="left"/>
      <w:lvlText w:val="%1."/>
      <w:numFmt w:val="upperLetter"/>
      <w:start w:val="1"/>
    </w:lvl>
  </w:abstractNum>
  <w:abstractNum w:abstractNumId="97">
    <w:nsid w:val="7975E8EE"/>
    <w:multiLevelType w:val="hybridMultilevel"/>
    <w:lvl w:ilvl="0">
      <w:lvlJc w:val="left"/>
      <w:lvlText w:val="%1."/>
      <w:numFmt w:val="upperLetter"/>
      <w:start w:val="2"/>
    </w:lvl>
  </w:abstractNum>
  <w:abstractNum w:abstractNumId="98">
    <w:nsid w:val="73154115"/>
    <w:multiLevelType w:val="hybridMultilevel"/>
    <w:lvl w:ilvl="0">
      <w:lvlJc w:val="left"/>
      <w:lvlText w:val="%1."/>
      <w:numFmt w:val="upperLetter"/>
      <w:start w:val="2"/>
    </w:lvl>
    <w:lvl w:ilvl="1">
      <w:lvlJc w:val="left"/>
      <w:lvlText w:val="•"/>
      <w:numFmt w:val="bullet"/>
      <w:start w:val="1"/>
    </w:lvl>
  </w:abstractNum>
  <w:abstractNum w:abstractNumId="99">
    <w:nsid w:val="622D8102"/>
    <w:multiLevelType w:val="hybridMultilevel"/>
    <w:lvl w:ilvl="0">
      <w:lvlJc w:val="left"/>
      <w:lvlText w:val="%1."/>
      <w:numFmt w:val="upperLetter"/>
      <w:start w:val="4"/>
    </w:lvl>
  </w:abstractNum>
  <w:abstractNum w:abstractNumId="100">
    <w:nsid w:val="2AB26587"/>
    <w:multiLevelType w:val="hybridMultilevel"/>
    <w:lvl w:ilvl="0">
      <w:lvlJc w:val="left"/>
      <w:lvlText w:val="%1."/>
      <w:numFmt w:val="upperLetter"/>
      <w:start w:val="5"/>
    </w:lvl>
  </w:abstractNum>
  <w:abstractNum w:abstractNumId="101">
    <w:nsid w:val="44B3FA61"/>
    <w:multiLevelType w:val="hybridMultilevel"/>
    <w:lvl w:ilvl="0">
      <w:lvlJc w:val="left"/>
      <w:lvlText w:val="•"/>
      <w:numFmt w:val="bullet"/>
      <w:start w:val="1"/>
    </w:lvl>
  </w:abstractNum>
  <w:abstractNum w:abstractNumId="102">
    <w:nsid w:val="1C0CA67C"/>
    <w:multiLevelType w:val="hybridMultilevel"/>
    <w:lvl w:ilvl="0">
      <w:lvlJc w:val="left"/>
      <w:lvlText w:val="(%1)"/>
      <w:numFmt w:val="lowerRoman"/>
      <w:start w:val="2"/>
    </w:lvl>
  </w:abstractNum>
  <w:abstractNum w:abstractNumId="103">
    <w:nsid w:val="3D206613"/>
    <w:multiLevelType w:val="hybridMultilevel"/>
    <w:lvl w:ilvl="0">
      <w:lvlJc w:val="left"/>
      <w:lvlText w:val="•"/>
      <w:numFmt w:val="bullet"/>
      <w:start w:val="1"/>
    </w:lvl>
  </w:abstractNum>
  <w:abstractNum w:abstractNumId="104">
    <w:nsid w:val="7993B662"/>
    <w:multiLevelType w:val="hybridMultilevel"/>
    <w:lvl w:ilvl="0">
      <w:lvlJc w:val="left"/>
      <w:lvlText w:val="•"/>
      <w:numFmt w:val="bullet"/>
      <w:start w:val="1"/>
    </w:lvl>
  </w:abstractNum>
  <w:abstractNum w:abstractNumId="105">
    <w:nsid w:val="3BAB699E"/>
    <w:multiLevelType w:val="hybridMultilevel"/>
    <w:lvl w:ilvl="0">
      <w:lvlJc w:val="left"/>
      <w:lvlText w:val="•"/>
      <w:numFmt w:val="bullet"/>
      <w:start w:val="1"/>
    </w:lvl>
  </w:abstractNum>
  <w:abstractNum w:abstractNumId="106">
    <w:nsid w:val="71315369"/>
    <w:multiLevelType w:val="hybridMultilevel"/>
    <w:lvl w:ilvl="0">
      <w:lvlJc w:val="left"/>
      <w:lvlText w:val="%1."/>
      <w:numFmt w:val="upperLetter"/>
      <w:start w:val="6"/>
    </w:lvl>
  </w:abstractNum>
  <w:abstractNum w:abstractNumId="107">
    <w:nsid w:val="7BCFBAFC"/>
    <w:multiLevelType w:val="hybridMultilevel"/>
    <w:lvl w:ilvl="0">
      <w:lvlJc w:val="left"/>
      <w:lvlText w:val="%1."/>
      <w:numFmt w:val="upperLetter"/>
      <w:start w:val="7"/>
    </w:lvl>
  </w:abstractNum>
  <w:abstractNum w:abstractNumId="108">
    <w:nsid w:val="17859F72"/>
    <w:multiLevelType w:val="hybridMultilevel"/>
    <w:lvl w:ilvl="0">
      <w:lvlJc w:val="left"/>
      <w:lvlText w:val="%1."/>
      <w:numFmt w:val="upperLetter"/>
      <w:start w:val="8"/>
    </w:lvl>
  </w:abstractNum>
  <w:abstractNum w:abstractNumId="109">
    <w:nsid w:val="3AA10581"/>
    <w:multiLevelType w:val="hybridMultilevel"/>
    <w:lvl w:ilvl="0">
      <w:lvlJc w:val="left"/>
      <w:lvlText w:val="%1."/>
      <w:numFmt w:val="upperLetter"/>
      <w:start w:val="9"/>
    </w:lvl>
  </w:abstractNum>
  <w:abstractNum w:abstractNumId="110">
    <w:nsid w:val="63DE60CD"/>
    <w:multiLevelType w:val="hybridMultilevel"/>
    <w:lvl w:ilvl="0">
      <w:lvlJc w:val="left"/>
      <w:lvlText w:val="%1."/>
      <w:numFmt w:val="upperLetter"/>
      <w:start w:val="10"/>
    </w:lvl>
  </w:abstractNum>
  <w:abstractNum w:abstractNumId="111">
    <w:nsid w:val="621AF471"/>
    <w:multiLevelType w:val="hybridMultilevel"/>
    <w:lvl w:ilvl="0">
      <w:lvlJc w:val="left"/>
      <w:lvlText w:val="%1."/>
      <w:numFmt w:val="upperLetter"/>
      <w:start w:val="1"/>
    </w:lvl>
  </w:abstractNum>
  <w:abstractNum w:abstractNumId="112">
    <w:nsid w:val="73CFE165"/>
    <w:multiLevelType w:val="hybridMultilevel"/>
    <w:lvl w:ilvl="0">
      <w:lvlJc w:val="left"/>
      <w:lvlText w:val="%1."/>
      <w:numFmt w:val="upperLetter"/>
      <w:start w:val="2"/>
    </w:lvl>
  </w:abstractNum>
  <w:abstractNum w:abstractNumId="113">
    <w:nsid w:val="20F88EA6"/>
    <w:multiLevelType w:val="hybridMultilevel"/>
    <w:lvl w:ilvl="0">
      <w:lvlJc w:val="left"/>
      <w:lvlText w:val="%1."/>
      <w:numFmt w:val="upperLetter"/>
      <w:start w:val="3"/>
    </w:lvl>
  </w:abstractNum>
  <w:abstractNum w:abstractNumId="114">
    <w:nsid w:val="617C843E"/>
    <w:multiLevelType w:val="hybridMultilevel"/>
    <w:lvl w:ilvl="0">
      <w:lvlJc w:val="left"/>
      <w:lvlText w:val="%1."/>
      <w:numFmt w:val="upperLetter"/>
      <w:start w:val="4"/>
    </w:lvl>
  </w:abstractNum>
  <w:abstractNum w:abstractNumId="115">
    <w:nsid w:val="7B541FAB"/>
    <w:multiLevelType w:val="hybridMultilevel"/>
    <w:lvl w:ilvl="0">
      <w:lvlJc w:val="left"/>
      <w:lvlText w:val="%1."/>
      <w:numFmt w:val="upperLetter"/>
      <w:start w:val="1"/>
    </w:lvl>
  </w:abstractNum>
  <w:abstractNum w:abstractNumId="116">
    <w:nsid w:val="2A79EC49"/>
    <w:multiLevelType w:val="hybridMultilevel"/>
    <w:lvl w:ilvl="0">
      <w:lvlJc w:val="left"/>
      <w:lvlText w:val="%1."/>
      <w:numFmt w:val="upperLetter"/>
      <w:start w:val="2"/>
    </w:lvl>
  </w:abstractNum>
  <w:abstractNum w:abstractNumId="117">
    <w:nsid w:val="338125CF"/>
    <w:multiLevelType w:val="hybridMultilevel"/>
    <w:lvl w:ilvl="0">
      <w:lvlJc w:val="left"/>
      <w:lvlText w:val="%1."/>
      <w:numFmt w:val="upperLetter"/>
      <w:start w:val="3"/>
    </w:lvl>
  </w:abstractNum>
  <w:abstractNum w:abstractNumId="118">
    <w:nsid w:val="47C7C971"/>
    <w:multiLevelType w:val="hybridMultilevel"/>
    <w:lvl w:ilvl="0">
      <w:lvlJc w:val="left"/>
      <w:lvlText w:val="(%1)"/>
      <w:numFmt w:val="decimal"/>
      <w:start w:val="1"/>
    </w:lvl>
  </w:abstractNum>
  <w:abstractNum w:abstractNumId="119">
    <w:nsid w:val="46F8284B"/>
    <w:multiLevelType w:val="hybridMultilevel"/>
    <w:lvl w:ilvl="0">
      <w:lvlJc w:val="left"/>
      <w:lvlText w:val="%1."/>
      <w:numFmt w:val="upperLetter"/>
      <w:start w:val="4"/>
    </w:lvl>
  </w:abstractNum>
  <w:abstractNum w:abstractNumId="120">
    <w:nsid w:val="4FA327CE"/>
    <w:multiLevelType w:val="hybridMultilevel"/>
    <w:lvl w:ilvl="0">
      <w:lvlJc w:val="left"/>
      <w:lvlText w:val="%1."/>
      <w:numFmt w:val="upperLetter"/>
      <w:start w:val="5"/>
    </w:lvl>
  </w:abstractNum>
  <w:abstractNum w:abstractNumId="121">
    <w:nsid w:val="1873983A"/>
    <w:multiLevelType w:val="hybridMultilevel"/>
    <w:lvl w:ilvl="0">
      <w:lvlJc w:val="left"/>
      <w:lvlText w:val="%1."/>
      <w:numFmt w:val="upperLetter"/>
      <w:start w:val="6"/>
    </w:lvl>
  </w:abstractNum>
  <w:abstractNum w:abstractNumId="122">
    <w:nsid w:val="3D2DD275"/>
    <w:multiLevelType w:val="hybridMultilevel"/>
    <w:lvl w:ilvl="0">
      <w:lvlJc w:val="left"/>
      <w:lvlText w:val="%1."/>
      <w:numFmt w:val="upperLetter"/>
      <w:start w:val="8"/>
    </w:lvl>
  </w:abstractNum>
  <w:abstractNum w:abstractNumId="123">
    <w:nsid w:val="2E17ECA7"/>
    <w:multiLevelType w:val="hybridMultilevel"/>
    <w:lvl w:ilvl="0">
      <w:lvlJc w:val="left"/>
      <w:lvlText w:val="%1."/>
      <w:numFmt w:val="upperLetter"/>
      <w:start w:val="9"/>
    </w:lvl>
  </w:abstractNum>
  <w:abstractNum w:abstractNumId="124">
    <w:nsid w:val="53B2564F"/>
    <w:multiLevelType w:val="hybridMultilevel"/>
    <w:lvl w:ilvl="0">
      <w:lvlJc w:val="left"/>
      <w:lvlText w:val="%1."/>
      <w:numFmt w:val="upperLetter"/>
      <w:start w:val="10"/>
    </w:lvl>
  </w:abstractNum>
  <w:abstractNum w:abstractNumId="125">
    <w:nsid w:val="75509D76"/>
    <w:multiLevelType w:val="hybridMultilevel"/>
    <w:lvl w:ilvl="0">
      <w:lvlJc w:val="left"/>
      <w:lvlText w:val="(%1)"/>
      <w:numFmt w:val="decimal"/>
      <w:start w:val="1"/>
    </w:lvl>
  </w:abstractNum>
  <w:abstractNum w:abstractNumId="126">
    <w:nsid w:val="1AF7F0EA"/>
    <w:multiLevelType w:val="hybridMultilevel"/>
    <w:lvl w:ilvl="0">
      <w:lvlJc w:val="left"/>
      <w:lvlText w:val="*"/>
      <w:numFmt w:val="bullet"/>
      <w:start w:val="1"/>
    </w:lvl>
  </w:abstractNum>
  <w:abstractNum w:abstractNumId="127">
    <w:nsid w:val="4DA32C7E"/>
    <w:multiLevelType w:val="hybridMultilevel"/>
    <w:lvl w:ilvl="0">
      <w:lvlJc w:val="left"/>
      <w:lvlText w:val="(%1)"/>
      <w:numFmt w:val="lowerLetter"/>
      <w:start w:val="1"/>
    </w:lvl>
  </w:abstractNum>
  <w:abstractNum w:abstractNumId="128">
    <w:nsid w:val="6EC68664"/>
    <w:multiLevelType w:val="hybridMultilevel"/>
    <w:lvl w:ilvl="0">
      <w:lvlJc w:val="left"/>
      <w:lvlText w:val="(%1)"/>
      <w:numFmt w:val="lowerLetter"/>
      <w:start w:val="4"/>
    </w:lvl>
  </w:abstractNum>
  <w:abstractNum w:abstractNumId="129">
    <w:nsid w:val="E0D31FF"/>
    <w:multiLevelType w:val="hybridMultilevel"/>
    <w:lvl w:ilvl="0">
      <w:lvlJc w:val="left"/>
      <w:lvlText w:val="(%1)"/>
      <w:numFmt w:val="lowerLetter"/>
      <w:start w:val="35"/>
    </w:lvl>
  </w:abstractNum>
  <w:abstractNum w:abstractNumId="130">
    <w:nsid w:val="2FD0AD81"/>
    <w:multiLevelType w:val="hybridMultilevel"/>
    <w:lvl w:ilvl="0">
      <w:lvlJc w:val="left"/>
      <w:lvlText w:val="(%1)"/>
      <w:numFmt w:val="lowerLetter"/>
      <w:start w:val="10"/>
    </w:lvl>
  </w:abstractNum>
  <w:abstractNum w:abstractNumId="131">
    <w:nsid w:val="1978EBEB"/>
    <w:multiLevelType w:val="hybridMultilevel"/>
    <w:lvl w:ilvl="0">
      <w:lvlJc w:val="left"/>
      <w:lvlText w:val="(%1)"/>
      <w:numFmt w:val="lowerLetter"/>
      <w:start w:val="12"/>
    </w:lvl>
  </w:abstractNum>
  <w:abstractNum w:abstractNumId="132">
    <w:nsid w:val="52C12C61"/>
    <w:multiLevelType w:val="hybridMultilevel"/>
    <w:lvl w:ilvl="0">
      <w:lvlJc w:val="left"/>
      <w:lvlText w:val="(%1)"/>
      <w:numFmt w:val="lowerLetter"/>
      <w:start w:val="16"/>
    </w:lvl>
  </w:abstractNum>
  <w:abstractNum w:abstractNumId="133">
    <w:nsid w:val="4BDD53FD"/>
    <w:multiLevelType w:val="hybridMultilevel"/>
    <w:lvl w:ilvl="0">
      <w:lvlJc w:val="left"/>
      <w:lvlText w:val="(%1)"/>
      <w:numFmt w:val="lowerLetter"/>
      <w:start w:val="19"/>
    </w:lvl>
  </w:abstractNum>
  <w:abstractNum w:abstractNumId="134">
    <w:nsid w:val="569951FE"/>
    <w:multiLevelType w:val="hybridMultilevel"/>
    <w:lvl w:ilvl="0">
      <w:lvlJc w:val="left"/>
      <w:lvlText w:val="%1."/>
      <w:numFmt w:val="decimal"/>
      <w:start w:val="1"/>
    </w:lvl>
  </w:abstractNum>
  <w:abstractNum w:abstractNumId="135">
    <w:nsid w:val="4C54E2C3"/>
    <w:multiLevelType w:val="hybridMultilevel"/>
    <w:lvl w:ilvl="0">
      <w:lvlJc w:val="left"/>
      <w:lvlText w:val="(%1)"/>
      <w:numFmt w:val="lowerLetter"/>
      <w:start w:val="1"/>
    </w:lvl>
  </w:abstractNum>
  <w:abstractNum w:abstractNumId="136">
    <w:nsid w:val="788BD9B"/>
    <w:multiLevelType w:val="hybridMultilevel"/>
    <w:lvl w:ilvl="0">
      <w:lvlJc w:val="left"/>
      <w:lvlText w:val="·"/>
      <w:numFmt w:val="bullet"/>
      <w:start w:val="1"/>
    </w:lvl>
  </w:abstractNum>
  <w:abstractNum w:abstractNumId="137">
    <w:nsid w:val="47CAA567"/>
    <w:multiLevelType w:val="hybridMultilevel"/>
    <w:lvl w:ilvl="0">
      <w:lvlJc w:val="left"/>
      <w:lvlText w:val="·"/>
      <w:numFmt w:val="bullet"/>
      <w:start w:val="1"/>
    </w:lvl>
  </w:abstractNum>
  <w:abstractNum w:abstractNumId="138">
    <w:nsid w:val="48249DBF"/>
    <w:multiLevelType w:val="hybridMultilevel"/>
    <w:lvl w:ilvl="0">
      <w:lvlJc w:val="left"/>
      <w:lvlText w:val="·"/>
      <w:numFmt w:val="bullet"/>
      <w:start w:val="1"/>
    </w:lvl>
  </w:abstractNum>
  <w:abstractNum w:abstractNumId="139">
    <w:nsid w:val="1F0E5D0D"/>
    <w:multiLevelType w:val="hybridMultilevel"/>
    <w:lvl w:ilvl="0">
      <w:lvlJc w:val="left"/>
      <w:lvlText w:val="·"/>
      <w:numFmt w:val="bullet"/>
      <w:start w:val="1"/>
    </w:lvl>
  </w:abstractNum>
  <w:abstractNum w:abstractNumId="140">
    <w:nsid w:val="26BAAE9"/>
    <w:multiLevelType w:val="hybridMultilevel"/>
    <w:lvl w:ilvl="0">
      <w:lvlJc w:val="left"/>
      <w:lvlText w:val="·"/>
      <w:numFmt w:val="bullet"/>
      <w:start w:val="1"/>
    </w:lvl>
  </w:abstractNum>
  <w:abstractNum w:abstractNumId="141">
    <w:nsid w:val="2C02FE8C"/>
    <w:multiLevelType w:val="hybridMultilevel"/>
    <w:lvl w:ilvl="0">
      <w:lvlJc w:val="left"/>
      <w:lvlText w:val="%1."/>
      <w:numFmt w:val="decimal"/>
      <w:start w:val="7"/>
    </w:lvl>
    <w:lvl w:ilvl="1">
      <w:lvlJc w:val="left"/>
      <w:lvlText w:val="·"/>
      <w:numFmt w:val="bullet"/>
      <w:start w:val="1"/>
    </w:lvl>
  </w:abstractNum>
  <w:abstractNum w:abstractNumId="142">
    <w:nsid w:val="129517E"/>
    <w:multiLevelType w:val="hybridMultilevel"/>
    <w:lvl w:ilvl="0">
      <w:lvlJc w:val="left"/>
      <w:lvlText w:val="·"/>
      <w:numFmt w:val="bullet"/>
      <w:start w:val="1"/>
    </w:lvl>
  </w:abstractNum>
  <w:abstractNum w:abstractNumId="143">
    <w:nsid w:val="763B8C4E"/>
    <w:multiLevelType w:val="hybridMultilevel"/>
    <w:lvl w:ilvl="0">
      <w:lvlJc w:val="left"/>
      <w:lvlText w:val="%1."/>
      <w:numFmt w:val="decimal"/>
      <w:start w:val="7"/>
    </w:lvl>
    <w:lvl w:ilvl="1">
      <w:lvlJc w:val="left"/>
      <w:lvlText w:val="·"/>
      <w:numFmt w:val="bullet"/>
      <w:start w:val="1"/>
    </w:lvl>
  </w:abstractNum>
  <w:abstractNum w:abstractNumId="144">
    <w:nsid w:val="4CFB8D32"/>
    <w:multiLevelType w:val="hybridMultilevel"/>
    <w:lvl w:ilvl="0">
      <w:lvlJc w:val="left"/>
      <w:lvlText w:val="(%1)"/>
      <w:numFmt w:val="lowerLetter"/>
      <w:start w:val="1"/>
    </w:lvl>
  </w:abstractNum>
  <w:abstractNum w:abstractNumId="145">
    <w:nsid w:val="62A5D5BD"/>
    <w:multiLevelType w:val="hybridMultilevel"/>
    <w:lvl w:ilvl="0">
      <w:lvlJc w:val="left"/>
      <w:lvlText w:val="•"/>
      <w:numFmt w:val="bullet"/>
      <w:start w:val="1"/>
    </w:lvl>
    <w:lvl w:ilvl="1">
      <w:lvlJc w:val="left"/>
      <w:lvlText w:val="•"/>
      <w:numFmt w:val="bullet"/>
      <w:start w:val="1"/>
    </w:lvl>
  </w:abstractNum>
  <w:abstractNum w:abstractNumId="146">
    <w:nsid w:val="718FABF9"/>
    <w:multiLevelType w:val="hybridMultilevel"/>
    <w:lvl w:ilvl="0">
      <w:lvlJc w:val="left"/>
      <w:lvlText w:val="•"/>
      <w:numFmt w:val="bullet"/>
      <w:start w:val="1"/>
    </w:lvl>
  </w:abstractNum>
  <w:abstractNum w:abstractNumId="147">
    <w:nsid w:val="7775797C"/>
    <w:multiLevelType w:val="hybridMultilevel"/>
    <w:lvl w:ilvl="0">
      <w:lvlJc w:val="left"/>
      <w:lvlText w:val="•"/>
      <w:numFmt w:val="bullet"/>
      <w:start w:val="1"/>
    </w:lvl>
  </w:abstractNum>
  <w:abstractNum w:abstractNumId="148">
    <w:nsid w:val="1626FB8C"/>
    <w:multiLevelType w:val="hybridMultilevel"/>
    <w:lvl w:ilvl="0">
      <w:lvlJc w:val="left"/>
      <w:lvlText w:val="(%1)"/>
      <w:numFmt w:val="lowerLetter"/>
      <w:start w:val="1"/>
    </w:lvl>
  </w:abstractNum>
  <w:abstractNum w:abstractNumId="149">
    <w:nsid w:val="3957756A"/>
    <w:multiLevelType w:val="hybridMultilevel"/>
    <w:lvl w:ilvl="0">
      <w:lvlJc w:val="left"/>
      <w:lvlText w:val="(%1)"/>
      <w:numFmt w:val="lowerLetter"/>
      <w:start w:val="2"/>
    </w:lvl>
  </w:abstractNum>
  <w:abstractNum w:abstractNumId="150">
    <w:nsid w:val="3E6DA1C7"/>
    <w:multiLevelType w:val="hybridMultilevel"/>
    <w:lvl w:ilvl="0">
      <w:lvlJc w:val="left"/>
      <w:lvlText w:val="(%1)"/>
      <w:numFmt w:val="lowerLetter"/>
      <w:start w:val="1"/>
    </w:lvl>
  </w:abstractNum>
  <w:abstractNum w:abstractNumId="151">
    <w:nsid w:val="65CA235B"/>
    <w:multiLevelType w:val="hybridMultilevel"/>
    <w:lvl w:ilvl="0">
      <w:lvlJc w:val="left"/>
      <w:lvlText w:val="(%1)"/>
      <w:numFmt w:val="lowerLetter"/>
      <w:start w:val="3"/>
    </w:lvl>
  </w:abstractNum>
  <w:abstractNum w:abstractNumId="152">
    <w:nsid w:val="51CB0DA4"/>
    <w:multiLevelType w:val="hybridMultilevel"/>
    <w:lvl w:ilvl="0">
      <w:lvlJc w:val="left"/>
      <w:lvlText w:val="•"/>
      <w:numFmt w:val="bullet"/>
      <w:start w:val="1"/>
    </w:lvl>
  </w:abstractNum>
  <w:abstractNum w:abstractNumId="153">
    <w:nsid w:val="7B9B743C"/>
    <w:multiLevelType w:val="hybridMultilevel"/>
    <w:lvl w:ilvl="0">
      <w:lvlJc w:val="left"/>
      <w:lvlText w:val="(%1)"/>
      <w:numFmt w:val="decimal"/>
      <w:start w:val="1"/>
    </w:lvl>
  </w:abstractNum>
  <w:abstractNum w:abstractNumId="154">
    <w:nsid w:val="13E21002"/>
    <w:multiLevelType w:val="hybridMultilevel"/>
    <w:lvl w:ilvl="0">
      <w:lvlJc w:val="left"/>
      <w:lvlText w:val="(%1)"/>
      <w:numFmt w:val="decimal"/>
      <w:start w:val="1"/>
    </w:lvl>
  </w:abstractNum>
  <w:abstractNum w:abstractNumId="155">
    <w:nsid w:val="257D63F4"/>
    <w:multiLevelType w:val="hybridMultilevel"/>
    <w:lvl w:ilvl="0">
      <w:lvlJc w:val="left"/>
      <w:lvlText w:val="(%1)"/>
      <w:numFmt w:val="decimal"/>
      <w:start w:val="1"/>
    </w:lvl>
  </w:abstractNum>
  <w:abstractNum w:abstractNumId="156">
    <w:nsid w:val="70EC11B2"/>
    <w:multiLevelType w:val="hybridMultilevel"/>
    <w:lvl w:ilvl="0">
      <w:lvlJc w:val="left"/>
      <w:lvlText w:val="(%1)"/>
      <w:numFmt w:val="decimal"/>
      <w:start w:val="1"/>
    </w:lvl>
  </w:abstractNum>
  <w:abstractNum w:abstractNumId="157">
    <w:nsid w:val="2EDA00ED"/>
    <w:multiLevelType w:val="hybridMultilevel"/>
    <w:lvl w:ilvl="0">
      <w:lvlJc w:val="left"/>
      <w:lvlText w:val="(%1)"/>
      <w:numFmt w:val="lowerLetter"/>
      <w:start w:val="1"/>
    </w:lvl>
  </w:abstractNum>
  <w:abstractNum w:abstractNumId="158">
    <w:nsid w:val="73209072"/>
    <w:multiLevelType w:val="hybridMultilevel"/>
    <w:lvl w:ilvl="0">
      <w:lvlJc w:val="left"/>
      <w:lvlText w:val="(%1)"/>
      <w:numFmt w:val="decimal"/>
      <w:start w:val="1"/>
    </w:lvl>
  </w:abstractNum>
  <w:abstractNum w:abstractNumId="159">
    <w:nsid w:val="5FB29816"/>
    <w:multiLevelType w:val="hybridMultilevel"/>
    <w:lvl w:ilvl="0">
      <w:lvlJc w:val="left"/>
      <w:lvlText w:val="(%1)"/>
      <w:numFmt w:val="decimal"/>
      <w:start w:val="1"/>
    </w:lvl>
  </w:abstractNum>
  <w:abstractNum w:abstractNumId="160">
    <w:nsid w:val="3CE732EC"/>
    <w:multiLevelType w:val="hybridMultilevel"/>
    <w:lvl w:ilvl="0">
      <w:lvlJc w:val="left"/>
      <w:lvlText w:val="(%1)"/>
      <w:numFmt w:val="lowerRoman"/>
      <w:start w:val="1"/>
    </w:lvl>
  </w:abstractNum>
  <w:abstractNum w:abstractNumId="161">
    <w:nsid w:val="22F13DF3"/>
    <w:multiLevelType w:val="hybridMultilevel"/>
    <w:lvl w:ilvl="0">
      <w:lvlJc w:val="left"/>
      <w:lvlText w:val="1"/>
      <w:numFmt w:val="bullet"/>
      <w:start w:val="1"/>
    </w:lvl>
  </w:abstractNum>
  <w:abstractNum w:abstractNumId="162">
    <w:nsid w:val="792B8401"/>
    <w:multiLevelType w:val="hybridMultilevel"/>
    <w:lvl w:ilvl="0">
      <w:lvlJc w:val="left"/>
      <w:lvlText w:val="(%1)"/>
      <w:numFmt w:val="lowerLetter"/>
      <w:start w:val="1"/>
    </w:lvl>
  </w:abstractNum>
  <w:abstractNum w:abstractNumId="163">
    <w:nsid w:val="FA85F4D"/>
    <w:multiLevelType w:val="hybridMultilevel"/>
    <w:lvl w:ilvl="0">
      <w:lvlJc w:val="left"/>
      <w:lvlText w:val="(%1)"/>
      <w:numFmt w:val="lowerLetter"/>
      <w:start w:val="1"/>
    </w:lvl>
  </w:abstractNum>
  <w:abstractNum w:abstractNumId="164">
    <w:nsid w:val="6ECE91F0"/>
    <w:multiLevelType w:val="hybridMultilevel"/>
    <w:lvl w:ilvl="0">
      <w:lvlJc w:val="left"/>
      <w:lvlText w:val="(%1)"/>
      <w:numFmt w:val="lowerLetter"/>
      <w:start w:val="1"/>
    </w:lvl>
  </w:abstractNum>
  <w:abstractNum w:abstractNumId="165">
    <w:nsid w:val="4FC4D600"/>
    <w:multiLevelType w:val="hybridMultilevel"/>
    <w:lvl w:ilvl="0">
      <w:lvlJc w:val="left"/>
      <w:lvlText w:val="(%1)"/>
      <w:numFmt w:val="lowerLetter"/>
      <w:start w:val="1"/>
    </w:lvl>
  </w:abstractNum>
  <w:abstractNum w:abstractNumId="166">
    <w:nsid w:val="5BFD4210"/>
    <w:multiLevelType w:val="hybridMultilevel"/>
    <w:lvl w:ilvl="0">
      <w:lvlJc w:val="left"/>
      <w:lvlText w:val="(%1)"/>
      <w:numFmt w:val="lowerLetter"/>
      <w:start w:val="1"/>
    </w:lvl>
  </w:abstractNum>
  <w:abstractNum w:abstractNumId="167">
    <w:nsid w:val="76574F8B"/>
    <w:multiLevelType w:val="hybridMultilevel"/>
    <w:lvl w:ilvl="0">
      <w:lvlJc w:val="left"/>
      <w:lvlText w:val="(%1)"/>
      <w:numFmt w:val="lowerLetter"/>
      <w:start w:val="2"/>
    </w:lvl>
    <w:lvl w:ilvl="1">
      <w:lvlJc w:val="left"/>
      <w:lvlText w:val="(%2)"/>
      <w:numFmt w:val="lowerRoman"/>
      <w:start w:val="1"/>
    </w:lvl>
  </w:abstractNum>
  <w:abstractNum w:abstractNumId="168">
    <w:nsid w:val="178F7B67"/>
    <w:multiLevelType w:val="hybridMultilevel"/>
    <w:lvl w:ilvl="0">
      <w:lvlJc w:val="left"/>
      <w:lvlText w:val="(%1)"/>
      <w:numFmt w:val="lowerLetter"/>
      <w:start w:val="1"/>
    </w:lvl>
  </w:abstractNum>
  <w:abstractNum w:abstractNumId="169">
    <w:nsid w:val="2421DFCF"/>
    <w:multiLevelType w:val="hybridMultilevel"/>
    <w:lvl w:ilvl="0">
      <w:lvlJc w:val="left"/>
      <w:lvlText w:val="(%1)"/>
      <w:numFmt w:val="lowerLetter"/>
      <w:start w:val="1"/>
    </w:lvl>
  </w:abstractNum>
  <w:abstractNum w:abstractNumId="170">
    <w:nsid w:val="1565A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1">
    <w:nsid w:val="19FB2650"/>
    <w:multiLevelType w:val="hybridMultilevel"/>
    <w:lvl w:ilvl="0">
      <w:lvlJc w:val="left"/>
      <w:lvlText w:val="(%1)"/>
      <w:numFmt w:val="lowerLetter"/>
      <w:start w:val="1"/>
    </w:lvl>
  </w:abstractNum>
  <w:abstractNum w:abstractNumId="172">
    <w:nsid w:val="5024DE5B"/>
    <w:multiLevelType w:val="hybridMultilevel"/>
    <w:lvl w:ilvl="0">
      <w:lvlJc w:val="left"/>
      <w:lvlText w:val="(%1)"/>
      <w:numFmt w:val="lowerRoman"/>
      <w:start w:val="1"/>
    </w:lvl>
  </w:abstractNum>
  <w:abstractNum w:abstractNumId="173">
    <w:nsid w:val="168EFE17"/>
    <w:multiLevelType w:val="hybridMultilevel"/>
    <w:lvl w:ilvl="0">
      <w:lvlJc w:val="left"/>
      <w:lvlText w:val="(%1)"/>
      <w:numFmt w:val="lowerRoman"/>
      <w:start w:val="2"/>
    </w:lvl>
  </w:abstractNum>
  <w:abstractNum w:abstractNumId="174">
    <w:nsid w:val="1036B29F"/>
    <w:multiLevelType w:val="hybridMultilevel"/>
    <w:lvl w:ilvl="0">
      <w:lvlJc w:val="left"/>
      <w:lvlText w:val="(%1)"/>
      <w:numFmt w:val="lowerLetter"/>
      <w:start w:val="1"/>
    </w:lvl>
    <w:lvl w:ilvl="1">
      <w:lvlJc w:val="left"/>
      <w:lvlText w:val="(%2)"/>
      <w:numFmt w:val="lowerRoman"/>
      <w:start w:val="1"/>
    </w:lvl>
  </w:abstractNum>
  <w:abstractNum w:abstractNumId="175">
    <w:nsid w:val="1D206B8E"/>
    <w:multiLevelType w:val="hybridMultilevel"/>
    <w:lvl w:ilvl="0">
      <w:lvlJc w:val="left"/>
      <w:lvlText w:val="(%1)"/>
      <w:numFmt w:val="lowerLetter"/>
      <w:start w:val="1"/>
    </w:lvl>
  </w:abstractNum>
  <w:abstractNum w:abstractNumId="176">
    <w:nsid w:val="7934D3D4"/>
    <w:multiLevelType w:val="hybridMultilevel"/>
    <w:lvl w:ilvl="0">
      <w:lvlJc w:val="left"/>
      <w:lvlText w:val="(%1)"/>
      <w:numFmt w:val="lowerLetter"/>
      <w:start w:val="1"/>
    </w:lvl>
  </w:abstractNum>
  <w:abstractNum w:abstractNumId="177">
    <w:nsid w:val="1C65E98"/>
    <w:multiLevelType w:val="hybridMultilevel"/>
    <w:lvl w:ilvl="0">
      <w:lvlJc w:val="left"/>
      <w:lvlText w:val="(%1)"/>
      <w:numFmt w:val="lowerLetter"/>
      <w:start w:val="1"/>
    </w:lvl>
  </w:abstractNum>
  <w:abstractNum w:abstractNumId="178">
    <w:nsid w:val="1495E50A"/>
    <w:multiLevelType w:val="hybridMultilevel"/>
    <w:lvl w:ilvl="0">
      <w:lvlJc w:val="left"/>
      <w:lvlText w:val="(%1)"/>
      <w:numFmt w:val="lowerLetter"/>
      <w:start w:val="3"/>
    </w:lvl>
  </w:abstractNum>
  <w:abstractNum w:abstractNumId="179">
    <w:nsid w:val="F5BCF61"/>
    <w:multiLevelType w:val="hybridMultilevel"/>
    <w:lvl w:ilvl="0">
      <w:lvlJc w:val="left"/>
      <w:lvlText w:val="(%1)"/>
      <w:numFmt w:val="lowerLetter"/>
      <w:start w:val="1"/>
    </w:lvl>
  </w:abstractNum>
  <w:abstractNum w:abstractNumId="180">
    <w:nsid w:val="3B1DD403"/>
    <w:multiLevelType w:val="hybridMultilevel"/>
    <w:lvl w:ilvl="0">
      <w:lvlJc w:val="left"/>
      <w:lvlText w:val="(%1)"/>
      <w:numFmt w:val="lowerLetter"/>
      <w:start w:val="17"/>
    </w:lvl>
  </w:abstractNum>
  <w:abstractNum w:abstractNumId="181">
    <w:nsid w:val="530386D1"/>
    <w:multiLevelType w:val="hybridMultilevel"/>
    <w:lvl w:ilvl="0">
      <w:lvlJc w:val="left"/>
      <w:lvlText w:val="(%1)"/>
      <w:numFmt w:val="lowerLetter"/>
      <w:start w:val="1"/>
    </w:lvl>
  </w:abstractNum>
  <w:abstractNum w:abstractNumId="182">
    <w:nsid w:val="7525F2BC"/>
    <w:multiLevelType w:val="hybridMultilevel"/>
    <w:lvl w:ilvl="0">
      <w:lvlJc w:val="left"/>
      <w:lvlText w:val="(%1)"/>
      <w:numFmt w:val="lowerLetter"/>
      <w:start w:val="1"/>
    </w:lvl>
  </w:abstractNum>
  <w:abstractNum w:abstractNumId="183">
    <w:nsid w:val="CE8E1A7"/>
    <w:multiLevelType w:val="hybridMultilevel"/>
    <w:lvl w:ilvl="0">
      <w:lvlJc w:val="left"/>
      <w:lvlText w:val="(%1)"/>
      <w:numFmt w:val="lowerLetter"/>
      <w:start w:val="1"/>
    </w:lvl>
  </w:abstractNum>
  <w:abstractNum w:abstractNumId="184">
    <w:nsid w:val="4E9EFB0D"/>
    <w:multiLevelType w:val="hybridMultilevel"/>
    <w:lvl w:ilvl="0">
      <w:lvlJc w:val="left"/>
      <w:lvlText w:val="(%1)"/>
      <w:numFmt w:val="lowerLetter"/>
      <w:start w:val="1"/>
    </w:lvl>
  </w:abstractNum>
  <w:abstractNum w:abstractNumId="185">
    <w:nsid w:val="90802BE"/>
    <w:multiLevelType w:val="hybridMultilevel"/>
    <w:lvl w:ilvl="0">
      <w:lvlJc w:val="left"/>
      <w:lvlText w:val="(%1)"/>
      <w:numFmt w:val="lowerLetter"/>
      <w:start w:val="2"/>
    </w:lvl>
  </w:abstractNum>
  <w:abstractNum w:abstractNumId="186">
    <w:nsid w:val="3266459B"/>
    <w:multiLevelType w:val="hybridMultilevel"/>
    <w:lvl w:ilvl="0">
      <w:lvlJc w:val="left"/>
      <w:lvlText w:val="(%1)"/>
      <w:numFmt w:val="lowerLetter"/>
      <w:start w:val="1"/>
    </w:lvl>
  </w:abstractNum>
  <w:abstractNum w:abstractNumId="187">
    <w:nsid w:val="3F8B0CBF"/>
    <w:multiLevelType w:val="hybridMultilevel"/>
    <w:lvl w:ilvl="0">
      <w:lvlJc w:val="left"/>
      <w:lvlText w:val="(%1)"/>
      <w:numFmt w:val="lowerLetter"/>
      <w:start w:val="1"/>
    </w:lvl>
  </w:abstractNum>
  <w:abstractNum w:abstractNumId="188">
    <w:nsid w:val="37E203AB"/>
    <w:multiLevelType w:val="hybridMultilevel"/>
    <w:lvl w:ilvl="0">
      <w:lvlJc w:val="left"/>
      <w:lvlText w:val="(%1)"/>
      <w:numFmt w:val="lowerLetter"/>
      <w:start w:val="1"/>
    </w:lvl>
  </w:abstractNum>
  <w:abstractNum w:abstractNumId="189">
    <w:nsid w:val="2586D60E"/>
    <w:multiLevelType w:val="hybridMultilevel"/>
    <w:lvl w:ilvl="0">
      <w:lvlJc w:val="left"/>
      <w:lvlText w:val="(%1)"/>
      <w:numFmt w:val="lowerLetter"/>
      <w:start w:val="6"/>
    </w:lvl>
  </w:abstractNum>
  <w:abstractNum w:abstractNumId="190">
    <w:nsid w:val="1F3DA4D5"/>
    <w:multiLevelType w:val="hybridMultilevel"/>
    <w:lvl w:ilvl="0">
      <w:lvlJc w:val="left"/>
      <w:lvlText w:val="(%1)"/>
      <w:numFmt w:val="lowerLetter"/>
      <w:start w:val="1"/>
    </w:lvl>
  </w:abstractNum>
  <w:abstractNum w:abstractNumId="191">
    <w:nsid w:val="74C93698"/>
    <w:multiLevelType w:val="hybridMultilevel"/>
    <w:lvl w:ilvl="0">
      <w:lvlJc w:val="left"/>
      <w:lvlText w:val="(%1)"/>
      <w:numFmt w:val="lowerLetter"/>
      <w:start w:val="1"/>
    </w:lvl>
  </w:abstractNum>
  <w:abstractNum w:abstractNumId="192">
    <w:nsid w:val="48781401"/>
    <w:multiLevelType w:val="hybridMultilevel"/>
    <w:lvl w:ilvl="0">
      <w:lvlJc w:val="left"/>
      <w:lvlText w:val="(%1)"/>
      <w:numFmt w:val="lowerLetter"/>
      <w:start w:val="1"/>
    </w:lvl>
  </w:abstractNum>
  <w:abstractNum w:abstractNumId="193">
    <w:nsid w:val="186928D6"/>
    <w:multiLevelType w:val="hybridMultilevel"/>
    <w:lvl w:ilvl="0">
      <w:lvlJc w:val="left"/>
      <w:lvlText w:val="(%1)"/>
      <w:numFmt w:val="lowerLetter"/>
      <w:start w:val="2"/>
    </w:lvl>
  </w:abstractNum>
  <w:abstractNum w:abstractNumId="194">
    <w:nsid w:val="47195E5"/>
    <w:multiLevelType w:val="hybridMultilevel"/>
    <w:lvl w:ilvl="0">
      <w:lvlJc w:val="left"/>
      <w:lvlText w:val="(%1)"/>
      <w:numFmt w:val="lowerLetter"/>
      <w:start w:val="1"/>
    </w:lvl>
  </w:abstractNum>
  <w:abstractNum w:abstractNumId="195">
    <w:nsid w:val="3746A5F2"/>
    <w:multiLevelType w:val="hybridMultilevel"/>
    <w:lvl w:ilvl="0">
      <w:lvlJc w:val="left"/>
      <w:lvlText w:val="(%1)"/>
      <w:numFmt w:val="lowerLetter"/>
      <w:start w:val="1"/>
    </w:lvl>
    <w:lvl w:ilvl="1">
      <w:lvlJc w:val="left"/>
      <w:lvlText w:val="(%2)"/>
      <w:numFmt w:val="lowerRoman"/>
      <w:start w:val="1"/>
    </w:lvl>
  </w:abstractNum>
  <w:abstractNum w:abstractNumId="196">
    <w:nsid w:val="682DFED6"/>
    <w:multiLevelType w:val="hybridMultilevel"/>
    <w:lvl w:ilvl="0">
      <w:lvlJc w:val="left"/>
      <w:lvlText w:val="(%1)"/>
      <w:numFmt w:val="lowerLetter"/>
      <w:start w:val="2"/>
    </w:lvl>
  </w:abstractNum>
  <w:abstractNum w:abstractNumId="197">
    <w:nsid w:val="606ED7F6"/>
    <w:multiLevelType w:val="hybridMultilevel"/>
    <w:lvl w:ilvl="0">
      <w:lvlJc w:val="left"/>
      <w:lvlText w:val="(%1)"/>
      <w:numFmt w:val="lowerLetter"/>
      <w:start w:val="3"/>
    </w:lvl>
  </w:abstractNum>
  <w:abstractNum w:abstractNumId="198">
    <w:nsid w:val="2D9DF57D"/>
    <w:multiLevelType w:val="hybridMultilevel"/>
    <w:lvl w:ilvl="0">
      <w:lvlJc w:val="left"/>
      <w:lvlText w:val="(%1)"/>
      <w:numFmt w:val="lowerLetter"/>
      <w:start w:val="1"/>
    </w:lvl>
  </w:abstractNum>
  <w:abstractNum w:abstractNumId="199">
    <w:nsid w:val="7FBD7A3E"/>
    <w:multiLevelType w:val="hybridMultilevel"/>
    <w:lvl w:ilvl="0">
      <w:lvlJc w:val="left"/>
      <w:lvlText w:val="(%1)"/>
      <w:numFmt w:val="lowerLetter"/>
      <w:start w:val="1"/>
    </w:lvl>
    <w:lvl w:ilvl="1">
      <w:lvlJc w:val="left"/>
      <w:lvlText w:val="(%2)"/>
      <w:numFmt w:val="lowerRoman"/>
      <w:start w:val="1"/>
    </w:lvl>
  </w:abstractNum>
  <w:abstractNum w:abstractNumId="200">
    <w:nsid w:val="490B7C5"/>
    <w:multiLevelType w:val="hybridMultilevel"/>
    <w:lvl w:ilvl="0">
      <w:lvlJc w:val="left"/>
      <w:lvlText w:val="(%1)"/>
      <w:numFmt w:val="lowerLetter"/>
      <w:start w:val="3"/>
    </w:lvl>
    <w:lvl w:ilvl="1">
      <w:lvlJc w:val="left"/>
      <w:lvlText w:val="(%2)"/>
      <w:numFmt w:val="lowerRoman"/>
      <w:start w:val="1"/>
    </w:lvl>
  </w:abstractNum>
  <w:abstractNum w:abstractNumId="201">
    <w:nsid w:val="4303A216"/>
    <w:multiLevelType w:val="hybridMultilevel"/>
    <w:lvl w:ilvl="0">
      <w:lvlJc w:val="left"/>
      <w:lvlText w:val="(%1)"/>
      <w:numFmt w:val="lowerLetter"/>
      <w:start w:val="1"/>
    </w:lvl>
  </w:abstractNum>
  <w:abstractNum w:abstractNumId="202">
    <w:nsid w:val="19B8A08E"/>
    <w:multiLevelType w:val="hybridMultilevel"/>
    <w:lvl w:ilvl="0">
      <w:lvlJc w:val="left"/>
      <w:lvlText w:val="(%1)"/>
      <w:numFmt w:val="lowerRoman"/>
      <w:start w:val="2"/>
    </w:lvl>
  </w:abstractNum>
  <w:abstractNum w:abstractNumId="203">
    <w:nsid w:val="54B59621"/>
    <w:multiLevelType w:val="hybridMultilevel"/>
    <w:lvl w:ilvl="0">
      <w:lvlJc w:val="left"/>
      <w:lvlText w:val="(%1)"/>
      <w:numFmt w:val="lowerLetter"/>
      <w:start w:val="1"/>
    </w:lvl>
  </w:abstractNum>
  <w:abstractNum w:abstractNumId="204">
    <w:nsid w:val="5992A02E"/>
    <w:multiLevelType w:val="hybridMultilevel"/>
    <w:lvl w:ilvl="0">
      <w:lvlJc w:val="left"/>
      <w:lvlText w:val="(%1)"/>
      <w:numFmt w:val="lowerLetter"/>
      <w:start w:val="1"/>
    </w:lvl>
  </w:abstractNum>
  <w:abstractNum w:abstractNumId="205">
    <w:nsid w:val="29EF532D"/>
    <w:multiLevelType w:val="hybridMultilevel"/>
    <w:lvl w:ilvl="0">
      <w:lvlJc w:val="left"/>
      <w:lvlText w:val="(%1)"/>
      <w:numFmt w:val="lowerLetter"/>
      <w:start w:val="4"/>
    </w:lvl>
  </w:abstractNum>
  <w:abstractNum w:abstractNumId="206">
    <w:nsid w:val="71D601AF"/>
    <w:multiLevelType w:val="hybridMultilevel"/>
    <w:lvl w:ilvl="0">
      <w:lvlJc w:val="left"/>
      <w:lvlText w:val="(%1)"/>
      <w:numFmt w:val="lowerLetter"/>
      <w:start w:val="1"/>
    </w:lvl>
  </w:abstractNum>
  <w:abstractNum w:abstractNumId="207">
    <w:nsid w:val="52C77402"/>
    <w:multiLevelType w:val="hybridMultilevel"/>
    <w:lvl w:ilvl="0">
      <w:lvlJc w:val="left"/>
      <w:lvlText w:val="(%1)"/>
      <w:numFmt w:val="lowerLetter"/>
      <w:start w:val="3"/>
    </w:lvl>
  </w:abstractNum>
  <w:abstractNum w:abstractNumId="208">
    <w:nsid w:val="2BB5B1C6"/>
    <w:multiLevelType w:val="hybridMultilevel"/>
    <w:lvl w:ilvl="0">
      <w:lvlJc w:val="left"/>
      <w:lvlText w:val="(%1)"/>
      <w:numFmt w:val="lowerLetter"/>
      <w:start w:val="1"/>
    </w:lvl>
    <w:lvl w:ilvl="1">
      <w:lvlJc w:val="left"/>
      <w:lvlText w:val="(%2)"/>
      <w:numFmt w:val="lowerRoman"/>
      <w:start w:val="1"/>
    </w:lvl>
  </w:abstractNum>
  <w:abstractNum w:abstractNumId="209">
    <w:nsid w:val="66BE6B9"/>
    <w:multiLevelType w:val="hybridMultilevel"/>
    <w:lvl w:ilvl="0">
      <w:lvlJc w:val="left"/>
      <w:lvlText w:val="(%1)"/>
      <w:numFmt w:val="lowerLetter"/>
      <w:start w:val="1"/>
    </w:lvl>
  </w:abstractNum>
  <w:abstractNum w:abstractNumId="210">
    <w:nsid w:val="62234363"/>
    <w:multiLevelType w:val="hybridMultilevel"/>
    <w:lvl w:ilvl="0">
      <w:lvlJc w:val="left"/>
      <w:lvlText w:val="(%1)"/>
      <w:numFmt w:val="lowerLetter"/>
      <w:start w:val="1"/>
    </w:lvl>
  </w:abstractNum>
  <w:abstractNum w:abstractNumId="211">
    <w:nsid w:val="66D385C9"/>
    <w:multiLevelType w:val="hybridMultilevel"/>
    <w:lvl w:ilvl="0">
      <w:lvlJc w:val="left"/>
      <w:lvlText w:val="(%1)"/>
      <w:numFmt w:val="lowerLetter"/>
      <w:start w:val="2"/>
    </w:lvl>
    <w:lvl w:ilvl="1">
      <w:lvlJc w:val="left"/>
      <w:lvlText w:val="(%2)"/>
      <w:numFmt w:val="lowerRoman"/>
      <w:start w:val="1"/>
    </w:lvl>
  </w:abstractNum>
  <w:abstractNum w:abstractNumId="212">
    <w:nsid w:val="596F6D8A"/>
    <w:multiLevelType w:val="hybridMultilevel"/>
    <w:lvl w:ilvl="0">
      <w:lvlJc w:val="left"/>
      <w:lvlText w:val="(%1)"/>
      <w:numFmt w:val="lowerLetter"/>
      <w:start w:val="1"/>
    </w:lvl>
  </w:abstractNum>
  <w:abstractNum w:abstractNumId="213">
    <w:nsid w:val="5749361F"/>
    <w:multiLevelType w:val="hybridMultilevel"/>
    <w:lvl w:ilvl="0">
      <w:lvlJc w:val="left"/>
      <w:lvlText w:val="(%1)"/>
      <w:numFmt w:val="lowerLetter"/>
      <w:start w:val="1"/>
    </w:lvl>
    <w:lvl w:ilvl="1">
      <w:lvlJc w:val="left"/>
      <w:lvlText w:val="(%2)"/>
      <w:numFmt w:val="lowerRoman"/>
      <w:start w:val="1"/>
    </w:lvl>
  </w:abstractNum>
  <w:abstractNum w:abstractNumId="214">
    <w:nsid w:val="73BC6770"/>
    <w:multiLevelType w:val="hybridMultilevel"/>
    <w:lvl w:ilvl="0">
      <w:lvlJc w:val="left"/>
      <w:lvlText w:val="(%1)"/>
      <w:numFmt w:val="lowerLetter"/>
      <w:start w:val="3"/>
    </w:lvl>
    <w:lvl w:ilvl="1">
      <w:lvlJc w:val="left"/>
      <w:lvlText w:val="(%2)"/>
      <w:numFmt w:val="lowerRoman"/>
      <w:start w:val="1"/>
    </w:lvl>
  </w:abstractNum>
  <w:abstractNum w:abstractNumId="215">
    <w:nsid w:val="280E6897"/>
    <w:multiLevelType w:val="hybridMultilevel"/>
    <w:lvl w:ilvl="0">
      <w:lvlJc w:val="left"/>
      <w:lvlText w:val="(%1)"/>
      <w:numFmt w:val="lowerLetter"/>
      <w:start w:val="1"/>
    </w:lvl>
  </w:abstractNum>
  <w:abstractNum w:abstractNumId="216">
    <w:nsid w:val="605138DE"/>
    <w:multiLevelType w:val="hybridMultilevel"/>
    <w:lvl w:ilvl="0">
      <w:lvlJc w:val="left"/>
      <w:lvlText w:val="(%1)"/>
      <w:numFmt w:val="lowerLetter"/>
      <w:start w:val="1"/>
    </w:lvl>
  </w:abstractNum>
  <w:abstractNum w:abstractNumId="217">
    <w:nsid w:val="2622AD0C"/>
    <w:multiLevelType w:val="hybridMultilevel"/>
    <w:lvl w:ilvl="0">
      <w:lvlJc w:val="left"/>
      <w:lvlText w:val="(%1)"/>
      <w:numFmt w:val="lowerLetter"/>
      <w:start w:val="1"/>
    </w:lvl>
  </w:abstractNum>
  <w:abstractNum w:abstractNumId="218">
    <w:nsid w:val="67997556"/>
    <w:multiLevelType w:val="hybridMultilevel"/>
    <w:lvl w:ilvl="0">
      <w:lvlJc w:val="left"/>
      <w:lvlText w:val="2"/>
      <w:numFmt w:val="bullet"/>
      <w:start w:val="1"/>
    </w:lvl>
  </w:abstractNum>
  <w:abstractNum w:abstractNumId="219">
    <w:nsid w:val="18333C89"/>
    <w:multiLevelType w:val="hybridMultilevel"/>
    <w:lvl w:ilvl="0">
      <w:lvlJc w:val="left"/>
      <w:lvlText w:val="3"/>
      <w:numFmt w:val="bullet"/>
      <w:start w:val="1"/>
    </w:lvl>
  </w:abstractNum>
  <w:abstractNum w:abstractNumId="220">
    <w:nsid w:val="4BA9831A"/>
    <w:multiLevelType w:val="hybridMultilevel"/>
    <w:lvl w:ilvl="0">
      <w:lvlJc w:val="left"/>
      <w:lvlText w:val="(%1)"/>
      <w:numFmt w:val="lowerLetter"/>
      <w:start w:val="1"/>
    </w:lvl>
  </w:abstractNum>
  <w:abstractNum w:abstractNumId="221">
    <w:nsid w:val="6D71A2B"/>
    <w:multiLevelType w:val="hybridMultilevel"/>
    <w:lvl w:ilvl="0">
      <w:lvlJc w:val="left"/>
      <w:lvlText w:val="4"/>
      <w:numFmt w:val="bullet"/>
      <w:start w:val="1"/>
    </w:lvl>
  </w:abstractNum>
  <w:abstractNum w:abstractNumId="222">
    <w:nsid w:val="CFC7321"/>
    <w:multiLevelType w:val="hybridMultilevel"/>
    <w:lvl w:ilvl="0">
      <w:lvlJc w:val="left"/>
      <w:lvlText w:val="(%1)"/>
      <w:numFmt w:val="lowerLetter"/>
      <w:start w:val="1"/>
    </w:lvl>
  </w:abstractNum>
  <w:abstractNum w:abstractNumId="223">
    <w:nsid w:val="1421971B"/>
    <w:multiLevelType w:val="hybridMultilevel"/>
    <w:lvl w:ilvl="0">
      <w:lvlJc w:val="left"/>
      <w:lvlText w:val="(%1)"/>
      <w:numFmt w:val="lowerLetter"/>
      <w:start w:val="1"/>
    </w:lvl>
  </w:abstractNum>
  <w:abstractNum w:abstractNumId="224">
    <w:nsid w:val="1F404301"/>
    <w:multiLevelType w:val="hybridMultilevel"/>
    <w:lvl w:ilvl="0">
      <w:lvlJc w:val="left"/>
      <w:lvlText w:val="(%1)"/>
      <w:numFmt w:val="lowerLetter"/>
      <w:start w:val="1"/>
    </w:lvl>
  </w:abstractNum>
  <w:abstractNum w:abstractNumId="225">
    <w:nsid w:val="116E0907"/>
    <w:multiLevelType w:val="hybridMultilevel"/>
    <w:lvl w:ilvl="0">
      <w:lvlJc w:val="left"/>
      <w:lvlText w:val="(%1)"/>
      <w:numFmt w:val="lowerLetter"/>
      <w:start w:val="1"/>
    </w:lvl>
  </w:abstractNum>
  <w:abstractNum w:abstractNumId="226">
    <w:nsid w:val="4B683D0D"/>
    <w:multiLevelType w:val="hybridMultilevel"/>
    <w:lvl w:ilvl="0">
      <w:lvlJc w:val="left"/>
      <w:lvlText w:val="%1"/>
      <w:numFmt w:val="lowerRoman"/>
      <w:start w:val="1"/>
    </w:lvl>
    <w:lvl w:ilvl="1">
      <w:lvlJc w:val="left"/>
      <w:lvlText w:val="(%2)"/>
      <w:numFmt w:val="upperLetter"/>
      <w:start w:val="1"/>
    </w:lvl>
  </w:abstractNum>
  <w:abstractNum w:abstractNumId="227">
    <w:nsid w:val="76E41D8"/>
    <w:multiLevelType w:val="hybridMultilevel"/>
    <w:lvl w:ilvl="0">
      <w:lvlJc w:val="left"/>
      <w:lvlText w:val="(%1)"/>
      <w:numFmt w:val="lowerRoman"/>
      <w:start w:val="2"/>
    </w:lvl>
    <w:lvl w:ilvl="1">
      <w:lvlJc w:val="left"/>
      <w:lvlText w:val="%2"/>
      <w:numFmt w:val="upperLetter"/>
      <w:start w:val="1"/>
    </w:lvl>
  </w:abstractNum>
  <w:abstractNum w:abstractNumId="228">
    <w:nsid w:val="71DCE0FD"/>
    <w:multiLevelType w:val="hybridMultilevel"/>
    <w:lvl w:ilvl="0">
      <w:lvlJc w:val="left"/>
      <w:lvlText w:val="5"/>
      <w:numFmt w:val="bullet"/>
      <w:start w:val="1"/>
    </w:lvl>
  </w:abstractNum>
  <w:abstractNum w:abstractNumId="229">
    <w:nsid w:val="7906328B"/>
    <w:multiLevelType w:val="hybridMultilevel"/>
    <w:lvl w:ilvl="0">
      <w:lvlJc w:val="left"/>
      <w:lvlText w:val="(%1)"/>
      <w:numFmt w:val="lowerLetter"/>
      <w:start w:val="1"/>
    </w:lvl>
    <w:lvl w:ilvl="1">
      <w:lvlJc w:val="left"/>
      <w:lvlText w:val="(%2)"/>
      <w:numFmt w:val="lowerRoman"/>
      <w:start w:val="1"/>
    </w:lvl>
  </w:abstractNum>
  <w:abstractNum w:abstractNumId="230">
    <w:nsid w:val="72BBC16"/>
    <w:multiLevelType w:val="hybridMultilevel"/>
    <w:lvl w:ilvl="0">
      <w:lvlJc w:val="left"/>
      <w:lvlText w:val="(%1)"/>
      <w:numFmt w:val="lowerLetter"/>
      <w:start w:val="1"/>
    </w:lvl>
    <w:lvl w:ilvl="1">
      <w:lvlJc w:val="left"/>
      <w:lvlText w:val="(%2)"/>
      <w:numFmt w:val="lowerRoman"/>
      <w:start w:val="1"/>
    </w:lvl>
  </w:abstractNum>
  <w:abstractNum w:abstractNumId="231">
    <w:nsid w:val="766D98C2"/>
    <w:multiLevelType w:val="hybridMultilevel"/>
    <w:lvl w:ilvl="0">
      <w:lvlJc w:val="left"/>
      <w:lvlText w:val="(%1)"/>
      <w:numFmt w:val="lowerLetter"/>
      <w:start w:val="2"/>
    </w:lvl>
  </w:abstractNum>
  <w:abstractNum w:abstractNumId="232">
    <w:nsid w:val="3C09D4A1"/>
    <w:multiLevelType w:val="hybridMultilevel"/>
    <w:lvl w:ilvl="0">
      <w:lvlJc w:val="left"/>
      <w:lvlText w:val="(%1)"/>
      <w:numFmt w:val="lowerLetter"/>
      <w:start w:val="1"/>
    </w:lvl>
  </w:abstractNum>
  <w:abstractNum w:abstractNumId="233">
    <w:nsid w:val="20E45CA4"/>
    <w:multiLevelType w:val="hybridMultilevel"/>
    <w:lvl w:ilvl="0">
      <w:lvlJc w:val="left"/>
      <w:lvlText w:val="(%1)"/>
      <w:numFmt w:val="lowerLetter"/>
      <w:start w:val="1"/>
    </w:lvl>
  </w:abstractNum>
  <w:abstractNum w:abstractNumId="234">
    <w:nsid w:val="4B232EE3"/>
    <w:multiLevelType w:val="hybridMultilevel"/>
    <w:lvl w:ilvl="0">
      <w:lvlJc w:val="left"/>
      <w:lvlText w:val="(%1)"/>
      <w:numFmt w:val="lowerLetter"/>
      <w:start w:val="1"/>
    </w:lvl>
    <w:lvl w:ilvl="1">
      <w:lvlJc w:val="left"/>
      <w:lvlText w:val="(%2)"/>
      <w:numFmt w:val="lowerRoman"/>
      <w:start w:val="1"/>
    </w:lvl>
  </w:abstractNum>
  <w:abstractNum w:abstractNumId="235">
    <w:nsid w:val="159C74CF"/>
    <w:multiLevelType w:val="hybridMultilevel"/>
    <w:lvl w:ilvl="0">
      <w:lvlJc w:val="left"/>
      <w:lvlText w:val="(%1)"/>
      <w:numFmt w:val="lowerLetter"/>
      <w:start w:val="6"/>
    </w:lvl>
  </w:abstractNum>
  <w:abstractNum w:abstractNumId="236">
    <w:nsid w:val="4AD3AFD2"/>
    <w:multiLevelType w:val="hybridMultilevel"/>
    <w:lvl w:ilvl="0">
      <w:lvlJc w:val="left"/>
      <w:lvlText w:val="6"/>
      <w:numFmt w:val="bullet"/>
      <w:start w:val="1"/>
    </w:lvl>
  </w:abstractNum>
  <w:abstractNum w:abstractNumId="237">
    <w:nsid w:val="3CF93092"/>
    <w:multiLevelType w:val="hybridMultilevel"/>
    <w:lvl w:ilvl="0">
      <w:lvlJc w:val="left"/>
      <w:lvlText w:val="(%1)"/>
      <w:numFmt w:val="lowerLetter"/>
      <w:start w:val="1"/>
    </w:lvl>
  </w:abstractNum>
  <w:abstractNum w:abstractNumId="238">
    <w:nsid w:val="6863E8D2"/>
    <w:multiLevelType w:val="hybridMultilevel"/>
    <w:lvl w:ilvl="0">
      <w:lvlJc w:val="left"/>
      <w:lvlText w:val="7"/>
      <w:numFmt w:val="bullet"/>
      <w:start w:val="1"/>
    </w:lvl>
  </w:abstractNum>
  <w:abstractNum w:abstractNumId="239">
    <w:nsid w:val="76896198"/>
    <w:multiLevelType w:val="hybridMultilevel"/>
    <w:lvl w:ilvl="0">
      <w:lvlJc w:val="left"/>
      <w:lvlText w:val="(%1)"/>
      <w:numFmt w:val="lowerLetter"/>
      <w:start w:val="1"/>
    </w:lvl>
  </w:abstractNum>
  <w:abstractNum w:abstractNumId="240">
    <w:nsid w:val="4365174B"/>
    <w:multiLevelType w:val="hybridMultilevel"/>
    <w:lvl w:ilvl="0">
      <w:lvlJc w:val="left"/>
      <w:lvlText w:val="(%1)"/>
      <w:numFmt w:val="lowerLetter"/>
      <w:start w:val="1"/>
    </w:lvl>
  </w:abstractNum>
  <w:abstractNum w:abstractNumId="241">
    <w:nsid w:val="4A872C35"/>
    <w:multiLevelType w:val="hybridMultilevel"/>
    <w:lvl w:ilvl="0">
      <w:lvlJc w:val="left"/>
      <w:lvlText w:val="(%1)"/>
      <w:numFmt w:val="lowerLetter"/>
      <w:start w:val="1"/>
    </w:lvl>
  </w:abstractNum>
  <w:abstractNum w:abstractNumId="242">
    <w:nsid w:val="5D5CE761"/>
    <w:multiLevelType w:val="hybridMultilevel"/>
    <w:lvl w:ilvl="0">
      <w:lvlJc w:val="left"/>
      <w:lvlText w:val="8"/>
      <w:numFmt w:val="bullet"/>
      <w:start w:val="1"/>
    </w:lvl>
  </w:abstractNum>
  <w:abstractNum w:abstractNumId="243">
    <w:nsid w:val="1CD484D5"/>
    <w:multiLevelType w:val="hybridMultilevel"/>
    <w:lvl w:ilvl="0">
      <w:lvlJc w:val="left"/>
      <w:lvlText w:val="(%1)"/>
      <w:numFmt w:val="lowerLetter"/>
      <w:start w:val="1"/>
    </w:lvl>
  </w:abstractNum>
  <w:abstractNum w:abstractNumId="244">
    <w:nsid w:val="21D06255"/>
    <w:multiLevelType w:val="hybridMultilevel"/>
    <w:lvl w:ilvl="0">
      <w:lvlJc w:val="left"/>
      <w:lvlText w:val="(%1)"/>
      <w:numFmt w:val="lowerLetter"/>
      <w:start w:val="1"/>
    </w:lvl>
  </w:abstractNum>
  <w:abstractNum w:abstractNumId="245">
    <w:nsid w:val="51194ED1"/>
    <w:multiLevelType w:val="hybridMultilevel"/>
    <w:lvl w:ilvl="0">
      <w:lvlJc w:val="left"/>
      <w:lvlText w:val="(%1)"/>
      <w:numFmt w:val="lowerLetter"/>
      <w:start w:val="1"/>
    </w:lvl>
  </w:abstractNum>
  <w:abstractNum w:abstractNumId="246">
    <w:nsid w:val="44E2ED6C"/>
    <w:multiLevelType w:val="hybridMultilevel"/>
    <w:lvl w:ilvl="0">
      <w:lvlJc w:val="left"/>
      <w:lvlText w:val="(%1)"/>
      <w:numFmt w:val="lowerLetter"/>
      <w:start w:val="1"/>
    </w:lvl>
  </w:abstractNum>
  <w:abstractNum w:abstractNumId="247">
    <w:nsid w:val="2219B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8">
    <w:nsid w:val="773BFBDD"/>
    <w:multiLevelType w:val="hybridMultilevel"/>
    <w:lvl w:ilvl="0">
      <w:lvlJc w:val="left"/>
      <w:lvlText w:val="(%1)"/>
      <w:numFmt w:val="lowerLetter"/>
      <w:start w:val="2"/>
    </w:lvl>
  </w:abstractNum>
  <w:abstractNum w:abstractNumId="249">
    <w:nsid w:val="2C7C62C2"/>
    <w:multiLevelType w:val="hybridMultilevel"/>
    <w:lvl w:ilvl="0">
      <w:lvlJc w:val="left"/>
      <w:lvlText w:val="9"/>
      <w:numFmt w:val="bullet"/>
      <w:start w:val="1"/>
    </w:lvl>
  </w:abstractNum>
  <w:abstractNum w:abstractNumId="250">
    <w:nsid w:val="1A54D7BC"/>
    <w:multiLevelType w:val="hybridMultilevel"/>
    <w:lvl w:ilvl="0">
      <w:lvlJc w:val="left"/>
      <w:lvlText w:val="(%1)"/>
      <w:numFmt w:val="lowerLetter"/>
      <w:start w:val="1"/>
    </w:lvl>
    <w:lvl w:ilvl="1">
      <w:lvlJc w:val="left"/>
      <w:lvlText w:val="(%2)"/>
      <w:numFmt w:val="lowerRoman"/>
      <w:start w:val="1"/>
    </w:lvl>
  </w:abstractNum>
  <w:abstractNum w:abstractNumId="251">
    <w:nsid w:val="42E57EF7"/>
    <w:multiLevelType w:val="hybridMultilevel"/>
    <w:lvl w:ilvl="0">
      <w:lvlJc w:val="left"/>
      <w:lvlText w:val="%1"/>
      <w:numFmt w:val="lowerLetter"/>
      <w:start w:val="1"/>
    </w:lvl>
    <w:lvl w:ilvl="1">
      <w:lvlJc w:val="left"/>
      <w:lvlText w:val="(%2)"/>
      <w:numFmt w:val="lowerRoman"/>
      <w:start w:val="3"/>
    </w:lvl>
  </w:abstractNum>
  <w:abstractNum w:abstractNumId="252">
    <w:nsid w:val="33537CED"/>
    <w:multiLevelType w:val="hybridMultilevel"/>
    <w:lvl w:ilvl="0">
      <w:lvlJc w:val="left"/>
      <w:lvlText w:val="(%1)"/>
      <w:numFmt w:val="lowerLetter"/>
      <w:start w:val="4"/>
    </w:lvl>
    <w:lvl w:ilvl="1">
      <w:lvlJc w:val="left"/>
      <w:lvlText w:val="%2"/>
      <w:numFmt w:val="lowerRoman"/>
      <w:start w:val="1"/>
    </w:lvl>
  </w:abstractNum>
  <w:abstractNum w:abstractNumId="253">
    <w:nsid w:val="27514ADE"/>
    <w:multiLevelType w:val="hybridMultilevel"/>
    <w:lvl w:ilvl="0">
      <w:lvlJc w:val="left"/>
      <w:lvlText w:val="%1"/>
      <w:numFmt w:val="decimal"/>
      <w:start w:val="10"/>
    </w:lvl>
  </w:abstractNum>
  <w:abstractNum w:abstractNumId="254">
    <w:nsid w:val="57071613"/>
    <w:multiLevelType w:val="hybridMultilevel"/>
    <w:lvl w:ilvl="0">
      <w:lvlJc w:val="left"/>
      <w:lvlText w:val="%1."/>
      <w:numFmt w:val="decimal"/>
      <w:start w:val="10"/>
    </w:lvl>
  </w:abstractNum>
  <w:abstractNum w:abstractNumId="255">
    <w:nsid w:val="5293BFEF"/>
    <w:multiLevelType w:val="hybridMultilevel"/>
    <w:lvl w:ilvl="0">
      <w:lvlJc w:val="left"/>
      <w:lvlText w:val="(%1)"/>
      <w:numFmt w:val="lowerLetter"/>
      <w:start w:val="1"/>
    </w:lvl>
  </w:abstractNum>
  <w:abstractNum w:abstractNumId="256">
    <w:nsid w:val="38BF53E5"/>
    <w:multiLevelType w:val="hybridMultilevel"/>
    <w:lvl w:ilvl="0">
      <w:lvlJc w:val="left"/>
      <w:lvlText w:val="(%1)"/>
      <w:numFmt w:val="lowerLetter"/>
      <w:start w:val="3"/>
    </w:lvl>
  </w:abstractNum>
  <w:abstractNum w:abstractNumId="257">
    <w:nsid w:val="226F5320"/>
    <w:multiLevelType w:val="hybridMultilevel"/>
    <w:lvl w:ilvl="0">
      <w:lvlJc w:val="left"/>
      <w:lvlText w:val="(%1)"/>
      <w:numFmt w:val="lowerLetter"/>
      <w:start w:val="1"/>
    </w:lvl>
  </w:abstractNum>
  <w:abstractNum w:abstractNumId="258">
    <w:nsid w:val="5A0201C7"/>
    <w:multiLevelType w:val="hybridMultilevel"/>
    <w:lvl w:ilvl="0">
      <w:lvlJc w:val="left"/>
      <w:lvlText w:val="(%1)"/>
      <w:numFmt w:val="lowerLetter"/>
      <w:start w:val="1"/>
    </w:lvl>
  </w:abstractNum>
  <w:abstractNum w:abstractNumId="259">
    <w:nsid w:val="2A9C34E2"/>
    <w:multiLevelType w:val="hybridMultilevel"/>
    <w:lvl w:ilvl="0">
      <w:lvlJc w:val="left"/>
      <w:lvlText w:val="(%1)"/>
      <w:numFmt w:val="lowerLetter"/>
      <w:start w:val="1"/>
    </w:lvl>
    <w:lvl w:ilvl="1">
      <w:lvlJc w:val="left"/>
      <w:lvlText w:val="(%2)"/>
      <w:numFmt w:val="lowerRoman"/>
      <w:start w:val="1"/>
    </w:lvl>
  </w:abstractNum>
  <w:abstractNum w:abstractNumId="260">
    <w:nsid w:val="1B7585AB"/>
    <w:multiLevelType w:val="hybridMultilevel"/>
    <w:lvl w:ilvl="0">
      <w:lvlJc w:val="left"/>
      <w:lvlText w:val="(%1)"/>
      <w:numFmt w:val="lowerLetter"/>
      <w:start w:val="3"/>
    </w:lvl>
  </w:abstractNum>
  <w:abstractNum w:abstractNumId="261">
    <w:nsid w:val="612DBDDD"/>
    <w:multiLevelType w:val="hybridMultilevel"/>
    <w:lvl w:ilvl="0">
      <w:lvlJc w:val="left"/>
      <w:lvlText w:val="(%1)"/>
      <w:numFmt w:val="lowerLetter"/>
      <w:start w:val="1"/>
    </w:lvl>
  </w:abstractNum>
  <w:abstractNum w:abstractNumId="262">
    <w:nsid w:val="2109CDA4"/>
    <w:multiLevelType w:val="hybridMultilevel"/>
    <w:lvl w:ilvl="0">
      <w:lvlJc w:val="left"/>
      <w:lvlText w:val="(%1)"/>
      <w:numFmt w:val="lowerLetter"/>
      <w:start w:val="1"/>
    </w:lvl>
  </w:abstractNum>
  <w:abstractNum w:abstractNumId="263">
    <w:nsid w:val="577F5A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4">
    <w:nsid w:val="2121A81"/>
    <w:multiLevelType w:val="hybridMultilevel"/>
    <w:lvl w:ilvl="0">
      <w:lvlJc w:val="left"/>
      <w:lvlText w:val="(%1)"/>
      <w:numFmt w:val="lowerLetter"/>
      <w:start w:val="3"/>
    </w:lvl>
  </w:abstractNum>
  <w:abstractNum w:abstractNumId="265">
    <w:nsid w:val="6C2CFC88"/>
    <w:multiLevelType w:val="hybridMultilevel"/>
    <w:lvl w:ilvl="0">
      <w:lvlJc w:val="left"/>
      <w:lvlText w:val="(%1)"/>
      <w:numFmt w:val="lowerLetter"/>
      <w:start w:val="1"/>
    </w:lvl>
  </w:abstractNum>
  <w:abstractNum w:abstractNumId="266">
    <w:nsid w:val="6D1BCF1C"/>
    <w:multiLevelType w:val="hybridMultilevel"/>
    <w:lvl w:ilvl="0">
      <w:lvlJc w:val="left"/>
      <w:lvlText w:val="%1"/>
      <w:numFmt w:val="decimal"/>
      <w:start w:val="11"/>
    </w:lvl>
  </w:abstractNum>
  <w:abstractNum w:abstractNumId="267">
    <w:nsid w:val="4CE5CA53"/>
    <w:multiLevelType w:val="hybridMultilevel"/>
    <w:lvl w:ilvl="0">
      <w:lvlJc w:val="left"/>
      <w:lvlText w:val="%1."/>
      <w:numFmt w:val="decimal"/>
      <w:start w:val="11"/>
    </w:lvl>
  </w:abstractNum>
  <w:abstractNum w:abstractNumId="268">
    <w:nsid w:val="29262D1A"/>
    <w:multiLevelType w:val="hybridMultilevel"/>
    <w:lvl w:ilvl="0">
      <w:lvlJc w:val="left"/>
      <w:lvlText w:val="(%1)"/>
      <w:numFmt w:val="lowerLetter"/>
      <w:start w:val="1"/>
    </w:lvl>
  </w:abstractNum>
  <w:abstractNum w:abstractNumId="269">
    <w:nsid w:val="557FB7EE"/>
    <w:multiLevelType w:val="hybridMultilevel"/>
    <w:lvl w:ilvl="0">
      <w:lvlJc w:val="left"/>
      <w:lvlText w:val="(%1)"/>
      <w:numFmt w:val="lowerLetter"/>
      <w:start w:val="2"/>
    </w:lvl>
  </w:abstractNum>
  <w:abstractNum w:abstractNumId="270">
    <w:nsid w:val="436F2BEB"/>
    <w:multiLevelType w:val="hybridMultilevel"/>
    <w:lvl w:ilvl="0">
      <w:lvlJc w:val="left"/>
      <w:lvlText w:val="(%1)"/>
      <w:numFmt w:val="lowerLetter"/>
      <w:start w:val="1"/>
    </w:lvl>
    <w:lvl w:ilvl="1">
      <w:lvlJc w:val="left"/>
      <w:lvlText w:val="(%2)"/>
      <w:numFmt w:val="lowerRoman"/>
      <w:start w:val="1"/>
    </w:lvl>
  </w:abstractNum>
  <w:abstractNum w:abstractNumId="271">
    <w:nsid w:val="6C8B4466"/>
    <w:multiLevelType w:val="hybridMultilevel"/>
    <w:lvl w:ilvl="0">
      <w:lvlJc w:val="left"/>
      <w:lvlText w:val="(%1)"/>
      <w:numFmt w:val="lowerLetter"/>
      <w:start w:val="1"/>
    </w:lvl>
  </w:abstractNum>
  <w:abstractNum w:abstractNumId="272">
    <w:nsid w:val="2006E424"/>
    <w:multiLevelType w:val="hybridMultilevel"/>
    <w:lvl w:ilvl="0">
      <w:lvlJc w:val="left"/>
      <w:lvlText w:val="(%1)"/>
      <w:numFmt w:val="lowerLetter"/>
      <w:start w:val="1"/>
    </w:lvl>
  </w:abstractNum>
  <w:abstractNum w:abstractNumId="273">
    <w:nsid w:val="20CC134C"/>
    <w:multiLevelType w:val="hybridMultilevel"/>
    <w:lvl w:ilvl="0">
      <w:lvlJc w:val="left"/>
      <w:lvlText w:val="(%1)"/>
      <w:numFmt w:val="lowerLetter"/>
      <w:start w:val="1"/>
    </w:lvl>
  </w:abstractNum>
  <w:abstractNum w:abstractNumId="274">
    <w:nsid w:val="95FC93B"/>
    <w:multiLevelType w:val="hybridMultilevel"/>
    <w:lvl w:ilvl="0">
      <w:lvlJc w:val="left"/>
      <w:lvlText w:val="(%1)"/>
      <w:numFmt w:val="lowerLetter"/>
      <w:start w:val="1"/>
    </w:lvl>
  </w:abstractNum>
  <w:abstractNum w:abstractNumId="275">
    <w:nsid w:val="41D74679"/>
    <w:multiLevelType w:val="hybridMultilevel"/>
    <w:lvl w:ilvl="0">
      <w:lvlJc w:val="left"/>
      <w:lvlText w:val="(%1)"/>
      <w:numFmt w:val="lowerLetter"/>
      <w:start w:val="1"/>
    </w:lvl>
  </w:abstractNum>
  <w:abstractNum w:abstractNumId="276">
    <w:nsid w:val="71E5621E"/>
    <w:multiLevelType w:val="hybridMultilevel"/>
    <w:lvl w:ilvl="0">
      <w:lvlJc w:val="left"/>
      <w:lvlText w:val="(%1)"/>
      <w:numFmt w:val="lowerLetter"/>
      <w:start w:val="1"/>
    </w:lvl>
  </w:abstractNum>
  <w:abstractNum w:abstractNumId="277">
    <w:nsid w:val="4E42B6A8"/>
    <w:multiLevelType w:val="hybridMultilevel"/>
    <w:lvl w:ilvl="0">
      <w:lvlJc w:val="left"/>
      <w:lvlText w:val="(%1)"/>
      <w:numFmt w:val="lowerLetter"/>
      <w:start w:val="1"/>
    </w:lvl>
  </w:abstractNum>
  <w:abstractNum w:abstractNumId="278">
    <w:nsid w:val="43F8E1AC"/>
    <w:multiLevelType w:val="hybridMultilevel"/>
    <w:lvl w:ilvl="0">
      <w:lvlJc w:val="left"/>
      <w:lvlText w:val="(%1)"/>
      <w:numFmt w:val="lowerLetter"/>
      <w:start w:val="1"/>
    </w:lvl>
  </w:abstractNum>
  <w:abstractNum w:abstractNumId="279">
    <w:nsid w:val="69215DFB"/>
    <w:multiLevelType w:val="hybridMultilevel"/>
    <w:lvl w:ilvl="0">
      <w:lvlJc w:val="left"/>
      <w:lvlText w:val="(%1)"/>
      <w:numFmt w:val="lowerLetter"/>
      <w:start w:val="1"/>
    </w:lvl>
  </w:abstractNum>
  <w:abstractNum w:abstractNumId="280">
    <w:nsid w:val="7ABF196A"/>
    <w:multiLevelType w:val="hybridMultilevel"/>
    <w:lvl w:ilvl="0">
      <w:lvlJc w:val="left"/>
      <w:lvlText w:val="(%1)"/>
      <w:numFmt w:val="lowerLetter"/>
      <w:start w:val="1"/>
    </w:lvl>
  </w:abstractNum>
  <w:abstractNum w:abstractNumId="281">
    <w:nsid w:val="5E4DB968"/>
    <w:multiLevelType w:val="hybridMultilevel"/>
    <w:lvl w:ilvl="0">
      <w:lvlJc w:val="left"/>
      <w:lvlText w:val="(%1)"/>
      <w:numFmt w:val="lowerLetter"/>
      <w:start w:val="1"/>
    </w:lvl>
  </w:abstractNum>
  <w:abstractNum w:abstractNumId="282">
    <w:nsid w:val="2C06DCF3"/>
    <w:multiLevelType w:val="hybridMultilevel"/>
    <w:lvl w:ilvl="0">
      <w:lvlJc w:val="left"/>
      <w:lvlText w:val="(%1)"/>
      <w:numFmt w:val="lowerLetter"/>
      <w:start w:val="1"/>
    </w:lvl>
    <w:lvl w:ilvl="1">
      <w:lvlJc w:val="left"/>
      <w:lvlText w:val="(%2)"/>
      <w:numFmt w:val="lowerRoman"/>
      <w:start w:val="1"/>
    </w:lvl>
  </w:abstractNum>
  <w:abstractNum w:abstractNumId="283">
    <w:nsid w:val="2E129658"/>
    <w:multiLevelType w:val="hybridMultilevel"/>
    <w:lvl w:ilvl="0">
      <w:lvlJc w:val="left"/>
      <w:lvlText w:val="(%1)"/>
      <w:numFmt w:val="lowerLetter"/>
      <w:start w:val="1"/>
    </w:lvl>
    <w:lvl w:ilvl="1">
      <w:lvlJc w:val="left"/>
      <w:lvlText w:val="(%2)"/>
      <w:numFmt w:val="lowerRoman"/>
      <w:start w:val="1"/>
    </w:lvl>
  </w:abstractNum>
  <w:abstractNum w:abstractNumId="284">
    <w:nsid w:val="59F0446"/>
    <w:multiLevelType w:val="hybridMultilevel"/>
    <w:lvl w:ilvl="0">
      <w:lvlJc w:val="left"/>
      <w:lvlText w:val="(%1)"/>
      <w:numFmt w:val="lowerLetter"/>
      <w:start w:val="3"/>
    </w:lvl>
  </w:abstractNum>
  <w:abstractNum w:abstractNumId="285">
    <w:nsid w:val="30DF306"/>
    <w:multiLevelType w:val="hybridMultilevel"/>
    <w:lvl w:ilvl="0">
      <w:lvlJc w:val="left"/>
      <w:lvlText w:val="%1"/>
      <w:numFmt w:val="decimal"/>
      <w:start w:val="12"/>
    </w:lvl>
  </w:abstractNum>
  <w:abstractNum w:abstractNumId="286">
    <w:nsid w:val="A65647"/>
    <w:multiLevelType w:val="hybridMultilevel"/>
    <w:lvl w:ilvl="0">
      <w:lvlJc w:val="left"/>
      <w:lvlText w:val="%1."/>
      <w:numFmt w:val="decimal"/>
      <w:start w:val="12"/>
    </w:lvl>
  </w:abstractNum>
  <w:abstractNum w:abstractNumId="287">
    <w:nsid w:val="3E5E582B"/>
    <w:multiLevelType w:val="hybridMultilevel"/>
    <w:lvl w:ilvl="0">
      <w:lvlJc w:val="left"/>
      <w:lvlText w:val="(%1)"/>
      <w:numFmt w:val="lowerLetter"/>
      <w:start w:val="1"/>
    </w:lvl>
    <w:lvl w:ilvl="1">
      <w:lvlJc w:val="left"/>
      <w:lvlText w:val="(%2)"/>
      <w:numFmt w:val="lowerRoman"/>
      <w:start w:val="1"/>
    </w:lvl>
  </w:abstractNum>
  <w:abstractNum w:abstractNumId="288">
    <w:nsid w:val="257D4626"/>
    <w:multiLevelType w:val="hybridMultilevel"/>
    <w:lvl w:ilvl="0">
      <w:lvlJc w:val="left"/>
      <w:lvlText w:val="(%1)"/>
      <w:numFmt w:val="lowerLetter"/>
      <w:start w:val="3"/>
    </w:lvl>
    <w:lvl w:ilvl="1">
      <w:lvlJc w:val="left"/>
      <w:lvlText w:val="(%2)"/>
      <w:numFmt w:val="lowerRoman"/>
      <w:start w:val="1"/>
    </w:lvl>
  </w:abstractNum>
  <w:abstractNum w:abstractNumId="289">
    <w:nsid w:val="5AA8580E"/>
    <w:multiLevelType w:val="hybridMultilevel"/>
    <w:lvl w:ilvl="0">
      <w:lvlJc w:val="left"/>
      <w:lvlText w:val="(%1)"/>
      <w:numFmt w:val="lowerLetter"/>
      <w:start w:val="4"/>
    </w:lvl>
    <w:lvl w:ilvl="1">
      <w:lvlJc w:val="left"/>
      <w:lvlText w:val="(%2)"/>
      <w:numFmt w:val="lowerRoman"/>
      <w:start w:val="1"/>
    </w:lvl>
  </w:abstractNum>
  <w:abstractNum w:abstractNumId="290">
    <w:nsid w:val="68FA8D0D"/>
    <w:multiLevelType w:val="hybridMultilevel"/>
    <w:lvl w:ilvl="0">
      <w:lvlJc w:val="left"/>
      <w:lvlText w:val="(%1)"/>
      <w:numFmt w:val="lowerLetter"/>
      <w:start w:val="1"/>
    </w:lvl>
  </w:abstractNum>
  <w:abstractNum w:abstractNumId="291">
    <w:nsid w:val="40F2CBD2"/>
    <w:multiLevelType w:val="hybridMultilevel"/>
    <w:lvl w:ilvl="0">
      <w:lvlJc w:val="left"/>
      <w:lvlText w:val="(%1)"/>
      <w:numFmt w:val="lowerLetter"/>
      <w:start w:val="1"/>
    </w:lvl>
  </w:abstractNum>
  <w:abstractNum w:abstractNumId="292">
    <w:nsid w:val="3BD615EB"/>
    <w:multiLevelType w:val="hybridMultilevel"/>
    <w:lvl w:ilvl="0">
      <w:lvlJc w:val="left"/>
      <w:lvlText w:val="(%1)"/>
      <w:numFmt w:val="lowerLetter"/>
      <w:start w:val="3"/>
    </w:lvl>
  </w:abstractNum>
  <w:abstractNum w:abstractNumId="293">
    <w:nsid w:val="A045AB2"/>
    <w:multiLevelType w:val="hybridMultilevel"/>
    <w:lvl w:ilvl="0">
      <w:lvlJc w:val="left"/>
      <w:lvlText w:val="(%1)"/>
      <w:numFmt w:val="lowerLetter"/>
      <w:start w:val="1"/>
    </w:lvl>
  </w:abstractNum>
  <w:abstractNum w:abstractNumId="294">
    <w:nsid w:val="1872261F"/>
    <w:multiLevelType w:val="hybridMultilevel"/>
    <w:lvl w:ilvl="0">
      <w:lvlJc w:val="left"/>
      <w:lvlText w:val="%1"/>
      <w:numFmt w:val="decimal"/>
      <w:start w:val="13"/>
    </w:lvl>
  </w:abstractNum>
  <w:abstractNum w:abstractNumId="295">
    <w:nsid w:val="3DE8306C"/>
    <w:multiLevelType w:val="hybridMultilevel"/>
    <w:lvl w:ilvl="0">
      <w:lvlJc w:val="left"/>
      <w:lvlText w:val="%1."/>
      <w:numFmt w:val="decimal"/>
      <w:start w:val="13"/>
    </w:lvl>
  </w:abstractNum>
  <w:abstractNum w:abstractNumId="296">
    <w:nsid w:val="7631573A"/>
    <w:multiLevelType w:val="hybridMultilevel"/>
    <w:lvl w:ilvl="0">
      <w:lvlJc w:val="left"/>
      <w:lvlText w:val="(%1)"/>
      <w:numFmt w:val="lowerLetter"/>
      <w:start w:val="1"/>
    </w:lvl>
  </w:abstractNum>
  <w:abstractNum w:abstractNumId="297">
    <w:nsid w:val="58DF53B"/>
    <w:multiLevelType w:val="hybridMultilevel"/>
    <w:lvl w:ilvl="0">
      <w:lvlJc w:val="left"/>
      <w:lvlText w:val="(%1)"/>
      <w:numFmt w:val="lowerLetter"/>
      <w:start w:val="2"/>
    </w:lvl>
  </w:abstractNum>
  <w:abstractNum w:abstractNumId="298">
    <w:nsid w:val="ACDFA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9">
    <w:nsid w:val="1F578454"/>
    <w:multiLevelType w:val="hybridMultilevel"/>
    <w:lvl w:ilvl="0">
      <w:lvlJc w:val="left"/>
      <w:lvlText w:val="(%1)"/>
      <w:numFmt w:val="lowerLetter"/>
      <w:start w:val="1"/>
    </w:lvl>
  </w:abstractNum>
  <w:abstractNum w:abstractNumId="300">
    <w:nsid w:val="5B0DAD2A"/>
    <w:multiLevelType w:val="hybridMultilevel"/>
    <w:lvl w:ilvl="0">
      <w:lvlJc w:val="left"/>
      <w:lvlText w:val="(%1)"/>
      <w:numFmt w:val="lowerLetter"/>
      <w:start w:val="1"/>
    </w:lvl>
    <w:lvl w:ilvl="1">
      <w:lvlJc w:val="left"/>
      <w:lvlText w:val="(%2)"/>
      <w:numFmt w:val="lowerRoman"/>
      <w:start w:val="1"/>
    </w:lvl>
  </w:abstractNum>
  <w:abstractNum w:abstractNumId="301">
    <w:nsid w:val="4E3D26AB"/>
    <w:multiLevelType w:val="hybridMultilevel"/>
    <w:lvl w:ilvl="0">
      <w:lvlJc w:val="left"/>
      <w:lvlText w:val="(%1)"/>
      <w:numFmt w:val="lowerLetter"/>
      <w:start w:val="1"/>
    </w:lvl>
  </w:abstractNum>
  <w:abstractNum w:abstractNumId="302">
    <w:nsid w:val="BE2C8BA"/>
    <w:multiLevelType w:val="hybridMultilevel"/>
    <w:lvl w:ilvl="0">
      <w:lvlJc w:val="left"/>
      <w:lvlText w:val="(%1)"/>
      <w:numFmt w:val="lowerLetter"/>
      <w:start w:val="1"/>
    </w:lvl>
  </w:abstractNum>
  <w:abstractNum w:abstractNumId="303">
    <w:nsid w:val="7B14914E"/>
    <w:multiLevelType w:val="hybridMultilevel"/>
    <w:lvl w:ilvl="0">
      <w:lvlJc w:val="left"/>
      <w:lvlText w:val="(%1)"/>
      <w:numFmt w:val="lowerLetter"/>
      <w:start w:val="1"/>
    </w:lvl>
  </w:abstractNum>
  <w:abstractNum w:abstractNumId="304">
    <w:nsid w:val="6F0939F8"/>
    <w:multiLevelType w:val="hybridMultilevel"/>
    <w:lvl w:ilvl="0">
      <w:lvlJc w:val="left"/>
      <w:lvlText w:val="(%1)"/>
      <w:numFmt w:val="lowerLetter"/>
      <w:start w:val="3"/>
    </w:lvl>
  </w:abstractNum>
  <w:abstractNum w:abstractNumId="305">
    <w:nsid w:val="154291F6"/>
    <w:multiLevelType w:val="hybridMultilevel"/>
    <w:lvl w:ilvl="0">
      <w:lvlJc w:val="left"/>
      <w:lvlText w:val="(%1)"/>
      <w:numFmt w:val="lowerLetter"/>
      <w:start w:val="1"/>
    </w:lvl>
    <w:lvl w:ilvl="1">
      <w:lvlJc w:val="left"/>
      <w:lvlText w:val="(%2)"/>
      <w:numFmt w:val="lowerRoman"/>
      <w:start w:val="1"/>
    </w:lvl>
  </w:abstractNum>
  <w:abstractNum w:abstractNumId="306">
    <w:nsid w:val="3CEBD7C7"/>
    <w:multiLevelType w:val="hybridMultilevel"/>
    <w:lvl w:ilvl="0">
      <w:lvlJc w:val="left"/>
      <w:lvlText w:val="(%1)"/>
      <w:numFmt w:val="lowerLetter"/>
      <w:start w:val="2"/>
    </w:lvl>
    <w:lvl w:ilvl="1">
      <w:lvlJc w:val="left"/>
      <w:lvlText w:val="(%2)"/>
      <w:numFmt w:val="lowerRoman"/>
      <w:start w:val="1"/>
    </w:lvl>
  </w:abstractNum>
  <w:abstractNum w:abstractNumId="307">
    <w:nsid w:val="60EE9C16"/>
    <w:multiLevelType w:val="hybridMultilevel"/>
    <w:lvl w:ilvl="0">
      <w:lvlJc w:val="left"/>
      <w:lvlText w:val="(%1)"/>
      <w:numFmt w:val="lowerRoman"/>
      <w:start w:val="3"/>
    </w:lvl>
    <w:lvl w:ilvl="1">
      <w:lvlJc w:val="left"/>
      <w:lvlText w:val="(%2)"/>
      <w:numFmt w:val="upperLetter"/>
      <w:start w:val="1"/>
    </w:lvl>
  </w:abstractNum>
  <w:abstractNum w:abstractNumId="308">
    <w:nsid w:val="6385489E"/>
    <w:multiLevelType w:val="hybridMultilevel"/>
    <w:lvl w:ilvl="0">
      <w:lvlJc w:val="left"/>
      <w:lvlText w:val="(%1)"/>
      <w:numFmt w:val="lowerLetter"/>
      <w:start w:val="1"/>
    </w:lvl>
  </w:abstractNum>
  <w:abstractNum w:abstractNumId="309">
    <w:nsid w:val="E4B973"/>
    <w:multiLevelType w:val="hybridMultilevel"/>
    <w:lvl w:ilvl="0">
      <w:lvlJc w:val="left"/>
      <w:lvlText w:val="(%1)"/>
      <w:numFmt w:val="lowerLetter"/>
      <w:start w:val="1"/>
    </w:lvl>
  </w:abstractNum>
  <w:abstractNum w:abstractNumId="310">
    <w:nsid w:val="4A0FFA11"/>
    <w:multiLevelType w:val="hybridMultilevel"/>
    <w:lvl w:ilvl="0">
      <w:lvlJc w:val="left"/>
      <w:lvlText w:val="(%1)"/>
      <w:numFmt w:val="lowerRoman"/>
      <w:start w:val="1"/>
    </w:lvl>
  </w:abstractNum>
  <w:abstractNum w:abstractNumId="311">
    <w:nsid w:val="5E44620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12">
    <w:nsid w:val="5F3272D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13">
    <w:nsid w:val="7616D704"/>
    <w:multiLevelType w:val="hybridMultilevel"/>
    <w:lvl w:ilvl="0">
      <w:lvlJc w:val="left"/>
      <w:lvlText w:val="(%1)"/>
      <w:numFmt w:val="lowerRoman"/>
      <w:start w:val="2"/>
    </w:lvl>
  </w:abstractNum>
  <w:abstractNum w:abstractNumId="314">
    <w:nsid w:val="C56F860"/>
    <w:multiLevelType w:val="hybridMultilevel"/>
    <w:lvl w:ilvl="0">
      <w:lvlJc w:val="left"/>
      <w:lvlText w:val="%1"/>
      <w:numFmt w:val="decimal"/>
      <w:start w:val="14"/>
    </w:lvl>
  </w:abstractNum>
  <w:abstractNum w:abstractNumId="315">
    <w:nsid w:val="64D17722"/>
    <w:multiLevelType w:val="hybridMultilevel"/>
    <w:lvl w:ilvl="0">
      <w:lvlJc w:val="left"/>
      <w:lvlText w:val="%1."/>
      <w:numFmt w:val="decimal"/>
      <w:start w:val="14"/>
    </w:lvl>
  </w:abstractNum>
  <w:abstractNum w:abstractNumId="316">
    <w:nsid w:val="7924CA0A"/>
    <w:multiLevelType w:val="hybridMultilevel"/>
    <w:lvl w:ilvl="0">
      <w:lvlJc w:val="left"/>
      <w:lvlText w:val="(%1)"/>
      <w:numFmt w:val="lowerLetter"/>
      <w:start w:val="1"/>
    </w:lvl>
  </w:abstractNum>
  <w:abstractNum w:abstractNumId="317">
    <w:nsid w:val="CFD4EA7"/>
    <w:multiLevelType w:val="hybridMultilevel"/>
    <w:lvl w:ilvl="0">
      <w:lvlJc w:val="left"/>
      <w:lvlText w:val="(%1)"/>
      <w:numFmt w:val="lowerLetter"/>
      <w:start w:val="1"/>
    </w:lvl>
    <w:lvl w:ilvl="1">
      <w:lvlJc w:val="left"/>
      <w:lvlText w:val="(%2)"/>
      <w:numFmt w:val="lowerRoman"/>
      <w:start w:val="1"/>
    </w:lvl>
  </w:abstractNum>
  <w:abstractNum w:abstractNumId="318">
    <w:nsid w:val="232FCF4D"/>
    <w:multiLevelType w:val="hybridMultilevel"/>
    <w:lvl w:ilvl="0">
      <w:lvlJc w:val="left"/>
      <w:lvlText w:val="(%1)"/>
      <w:numFmt w:val="lowerLetter"/>
      <w:start w:val="1"/>
    </w:lvl>
  </w:abstractNum>
  <w:abstractNum w:abstractNumId="319">
    <w:nsid w:val="1EA21031"/>
    <w:multiLevelType w:val="hybridMultilevel"/>
    <w:lvl w:ilvl="0">
      <w:lvlJc w:val="left"/>
      <w:lvlText w:val="(%1)"/>
      <w:numFmt w:val="lowerLetter"/>
      <w:start w:val="1"/>
    </w:lvl>
  </w:abstractNum>
  <w:abstractNum w:abstractNumId="320">
    <w:nsid w:val="67A5A6B5"/>
    <w:multiLevelType w:val="hybridMultilevel"/>
    <w:lvl w:ilvl="0">
      <w:lvlJc w:val="left"/>
      <w:lvlText w:val="(%1)"/>
      <w:numFmt w:val="lowerLetter"/>
      <w:start w:val="3"/>
    </w:lvl>
  </w:abstractNum>
  <w:abstractNum w:abstractNumId="321">
    <w:nsid w:val="C2A5C5B"/>
    <w:multiLevelType w:val="hybridMultilevel"/>
    <w:lvl w:ilvl="0">
      <w:lvlJc w:val="left"/>
      <w:lvlText w:val="(%1)"/>
      <w:numFmt w:val="lowerLetter"/>
      <w:start w:val="1"/>
    </w:lvl>
  </w:abstractNum>
  <w:abstractNum w:abstractNumId="322">
    <w:nsid w:val="5F94DC03"/>
    <w:multiLevelType w:val="hybridMultilevel"/>
    <w:lvl w:ilvl="0">
      <w:lvlJc w:val="left"/>
      <w:lvlText w:val="(%1)"/>
      <w:numFmt w:val="lowerLetter"/>
      <w:start w:val="1"/>
    </w:lvl>
    <w:lvl w:ilvl="1">
      <w:lvlJc w:val="left"/>
      <w:lvlText w:val="(%2)"/>
      <w:numFmt w:val="lowerRoman"/>
      <w:start w:val="1"/>
    </w:lvl>
  </w:abstractNum>
  <w:abstractNum w:abstractNumId="323">
    <w:nsid w:val="237BBCA0"/>
    <w:multiLevelType w:val="hybridMultilevel"/>
    <w:lvl w:ilvl="0">
      <w:lvlJc w:val="left"/>
      <w:lvlText w:val="%1"/>
      <w:numFmt w:val="lowerLetter"/>
      <w:start w:val="1"/>
    </w:lvl>
    <w:lvl w:ilvl="1">
      <w:lvlJc w:val="left"/>
      <w:lvlText w:val="(%2)"/>
      <w:numFmt w:val="lowerRoman"/>
      <w:start w:val="4"/>
    </w:lvl>
  </w:abstractNum>
  <w:abstractNum w:abstractNumId="324">
    <w:nsid w:val="162EB70D"/>
    <w:multiLevelType w:val="hybridMultilevel"/>
    <w:lvl w:ilvl="0">
      <w:lvlJc w:val="left"/>
      <w:lvlText w:val="(%1)"/>
      <w:numFmt w:val="lowerLetter"/>
      <w:start w:val="2"/>
    </w:lvl>
    <w:lvl w:ilvl="1">
      <w:lvlJc w:val="left"/>
      <w:lvlText w:val="(%2)"/>
      <w:numFmt w:val="lowerRoman"/>
      <w:start w:val="1"/>
    </w:lvl>
  </w:abstractNum>
  <w:abstractNum w:abstractNumId="325">
    <w:nsid w:val="78070222"/>
    <w:multiLevelType w:val="hybridMultilevel"/>
    <w:lvl w:ilvl="0">
      <w:lvlJc w:val="left"/>
      <w:lvlText w:val="(%1)"/>
      <w:numFmt w:val="lowerLetter"/>
      <w:start w:val="1"/>
    </w:lvl>
  </w:abstractNum>
  <w:abstractNum w:abstractNumId="326">
    <w:nsid w:val="6163ED0D"/>
    <w:multiLevelType w:val="hybridMultilevel"/>
    <w:lvl w:ilvl="0">
      <w:lvlJc w:val="left"/>
      <w:lvlText w:val="(%1)"/>
      <w:numFmt w:val="lowerLetter"/>
      <w:start w:val="1"/>
    </w:lvl>
  </w:abstractNum>
  <w:abstractNum w:abstractNumId="327">
    <w:nsid w:val="C600E47"/>
    <w:multiLevelType w:val="hybridMultilevel"/>
    <w:lvl w:ilvl="0">
      <w:lvlJc w:val="left"/>
      <w:lvlText w:val="(%1)"/>
      <w:numFmt w:val="lowerLetter"/>
      <w:start w:val="1"/>
    </w:lvl>
    <w:lvl w:ilvl="1">
      <w:lvlJc w:val="left"/>
      <w:lvlText w:val="(%2)"/>
      <w:numFmt w:val="lowerRoman"/>
      <w:start w:val="1"/>
    </w:lvl>
  </w:abstractNum>
  <w:abstractNum w:abstractNumId="328">
    <w:nsid w:val="7D94F75D"/>
    <w:multiLevelType w:val="hybridMultilevel"/>
    <w:lvl w:ilvl="0">
      <w:lvlJc w:val="left"/>
      <w:lvlText w:val="(%1)"/>
      <w:numFmt w:val="lowerLetter"/>
      <w:start w:val="1"/>
    </w:lvl>
    <w:lvl w:ilvl="1">
      <w:lvlJc w:val="left"/>
      <w:lvlText w:val="(%2)"/>
      <w:numFmt w:val="lowerRoman"/>
      <w:start w:val="1"/>
    </w:lvl>
  </w:abstractNum>
  <w:abstractNum w:abstractNumId="329">
    <w:nsid w:val="6C31E7CD"/>
    <w:multiLevelType w:val="hybridMultilevel"/>
    <w:lvl w:ilvl="0">
      <w:lvlJc w:val="left"/>
      <w:lvlText w:val="%1"/>
      <w:numFmt w:val="decimal"/>
      <w:start w:val="16"/>
    </w:lvl>
  </w:abstractNum>
  <w:abstractNum w:abstractNumId="330">
    <w:nsid w:val="2BB7929B"/>
    <w:multiLevelType w:val="hybridMultilevel"/>
    <w:lvl w:ilvl="0">
      <w:lvlJc w:val="left"/>
      <w:lvlText w:val="%1."/>
      <w:numFmt w:val="decimal"/>
      <w:start w:val="16"/>
    </w:lvl>
  </w:abstractNum>
  <w:abstractNum w:abstractNumId="331">
    <w:nsid w:val="58A2A487"/>
    <w:multiLevelType w:val="hybridMultilevel"/>
    <w:lvl w:ilvl="0">
      <w:lvlJc w:val="left"/>
      <w:lvlText w:val="(%1)"/>
      <w:numFmt w:val="lowerLetter"/>
      <w:start w:val="1"/>
    </w:lvl>
  </w:abstractNum>
  <w:abstractNum w:abstractNumId="332">
    <w:nsid w:val="3A6F0E78"/>
    <w:multiLevelType w:val="hybridMultilevel"/>
    <w:lvl w:ilvl="0">
      <w:lvlJc w:val="left"/>
      <w:lvlText w:val="(%1)"/>
      <w:numFmt w:val="lowerLetter"/>
      <w:start w:val="4"/>
    </w:lvl>
  </w:abstractNum>
  <w:abstractNum w:abstractNumId="333">
    <w:nsid w:val="379A5B56"/>
    <w:multiLevelType w:val="hybridMultilevel"/>
    <w:lvl w:ilvl="0">
      <w:lvlJc w:val="left"/>
      <w:lvlText w:val="(%1)"/>
      <w:numFmt w:val="lowerLetter"/>
      <w:start w:val="1"/>
    </w:lvl>
  </w:abstractNum>
  <w:abstractNum w:abstractNumId="334">
    <w:nsid w:val="53B735D5"/>
    <w:multiLevelType w:val="hybridMultilevel"/>
    <w:lvl w:ilvl="0">
      <w:lvlJc w:val="left"/>
      <w:lvlText w:val="(%1)"/>
      <w:numFmt w:val="lowerLetter"/>
      <w:start w:val="1"/>
    </w:lvl>
    <w:lvl w:ilvl="1">
      <w:lvlJc w:val="left"/>
      <w:lvlText w:val="(%2)"/>
      <w:numFmt w:val="lowerRoman"/>
      <w:start w:val="1"/>
    </w:lvl>
  </w:abstractNum>
  <w:abstractNum w:abstractNumId="335">
    <w:nsid w:val="29784870"/>
    <w:multiLevelType w:val="hybridMultilevel"/>
    <w:lvl w:ilvl="0">
      <w:lvlJc w:val="left"/>
      <w:lvlText w:val="(%1)"/>
      <w:numFmt w:val="lowerLetter"/>
      <w:start w:val="1"/>
    </w:lvl>
  </w:abstractNum>
  <w:abstractNum w:abstractNumId="336">
    <w:nsid w:val="4CDCED4C"/>
    <w:multiLevelType w:val="hybridMultilevel"/>
    <w:lvl w:ilvl="0">
      <w:lvlJc w:val="left"/>
      <w:lvlText w:val="(%1)"/>
      <w:numFmt w:val="lowerLetter"/>
      <w:start w:val="1"/>
    </w:lvl>
  </w:abstractNum>
  <w:abstractNum w:abstractNumId="337">
    <w:nsid w:val="10A30D9C"/>
    <w:multiLevelType w:val="hybridMultilevel"/>
    <w:lvl w:ilvl="0">
      <w:lvlJc w:val="left"/>
      <w:lvlText w:val="%1"/>
      <w:numFmt w:val="decimal"/>
      <w:start w:val="17"/>
    </w:lvl>
  </w:abstractNum>
  <w:abstractNum w:abstractNumId="338">
    <w:nsid w:val="A66E486"/>
    <w:multiLevelType w:val="hybridMultilevel"/>
    <w:lvl w:ilvl="0">
      <w:lvlJc w:val="left"/>
      <w:lvlText w:val="%1."/>
      <w:numFmt w:val="decimal"/>
      <w:start w:val="17"/>
    </w:lvl>
  </w:abstractNum>
  <w:abstractNum w:abstractNumId="339">
    <w:nsid w:val="306235EA"/>
    <w:multiLevelType w:val="hybridMultilevel"/>
    <w:lvl w:ilvl="0">
      <w:lvlJc w:val="left"/>
      <w:lvlText w:val="(%1)"/>
      <w:numFmt w:val="lowerLetter"/>
      <w:start w:val="1"/>
    </w:lvl>
    <w:lvl w:ilvl="1">
      <w:lvlJc w:val="left"/>
      <w:lvlText w:val="(%2)"/>
      <w:numFmt w:val="lowerRoman"/>
      <w:start w:val="1"/>
    </w:lvl>
  </w:abstractNum>
  <w:abstractNum w:abstractNumId="340">
    <w:nsid w:val="1187C70F"/>
    <w:multiLevelType w:val="hybridMultilevel"/>
    <w:lvl w:ilvl="0">
      <w:lvlJc w:val="left"/>
      <w:lvlText w:val="(%1)"/>
      <w:numFmt w:val="lowerLetter"/>
      <w:start w:val="1"/>
    </w:lvl>
  </w:abstractNum>
  <w:abstractNum w:abstractNumId="341">
    <w:nsid w:val="5476DE98"/>
    <w:multiLevelType w:val="hybridMultilevel"/>
    <w:lvl w:ilvl="0">
      <w:lvlJc w:val="left"/>
      <w:lvlText w:val="%1"/>
      <w:numFmt w:val="decimal"/>
      <w:start w:val="18"/>
    </w:lvl>
  </w:abstractNum>
  <w:abstractNum w:abstractNumId="342">
    <w:nsid w:val="EA697F2"/>
    <w:multiLevelType w:val="hybridMultilevel"/>
    <w:lvl w:ilvl="0">
      <w:lvlJc w:val="left"/>
      <w:lvlText w:val="%1."/>
      <w:numFmt w:val="decimal"/>
      <w:start w:val="18"/>
    </w:lvl>
  </w:abstractNum>
  <w:abstractNum w:abstractNumId="343">
    <w:nsid w:val="70BA39EB"/>
    <w:multiLevelType w:val="hybridMultilevel"/>
    <w:lvl w:ilvl="0">
      <w:lvlJc w:val="left"/>
      <w:lvlText w:val="(%1)"/>
      <w:numFmt w:val="lowerLetter"/>
      <w:start w:val="1"/>
    </w:lvl>
  </w:abstractNum>
  <w:abstractNum w:abstractNumId="344">
    <w:nsid w:val="4A8DB59C"/>
    <w:multiLevelType w:val="hybridMultilevel"/>
    <w:lvl w:ilvl="0">
      <w:lvlJc w:val="left"/>
      <w:lvlText w:val="(%1)"/>
      <w:numFmt w:val="lowerLetter"/>
      <w:start w:val="1"/>
    </w:lvl>
  </w:abstractNum>
  <w:abstractNum w:abstractNumId="345">
    <w:nsid w:val="1AFD9053"/>
    <w:multiLevelType w:val="hybridMultilevel"/>
    <w:lvl w:ilvl="0">
      <w:lvlJc w:val="left"/>
      <w:lvlText w:val="(%1)"/>
      <w:numFmt w:val="lowerLetter"/>
      <w:start w:val="1"/>
    </w:lvl>
  </w:abstractNum>
  <w:abstractNum w:abstractNumId="346">
    <w:nsid w:val="558BB10D"/>
    <w:multiLevelType w:val="hybridMultilevel"/>
    <w:lvl w:ilvl="0">
      <w:lvlJc w:val="left"/>
      <w:lvlText w:val="(%1)"/>
      <w:numFmt w:val="lowerLetter"/>
      <w:start w:val="1"/>
    </w:lvl>
  </w:abstractNum>
  <w:abstractNum w:abstractNumId="347">
    <w:nsid w:val="43B27FA7"/>
    <w:multiLevelType w:val="hybridMultilevel"/>
    <w:lvl w:ilvl="0">
      <w:lvlJc w:val="left"/>
      <w:lvlText w:val="(%1)"/>
      <w:numFmt w:val="lowerLetter"/>
      <w:start w:val="1"/>
    </w:lvl>
  </w:abstractNum>
  <w:abstractNum w:abstractNumId="348">
    <w:nsid w:val="27FADEFA"/>
    <w:multiLevelType w:val="hybridMultilevel"/>
    <w:lvl w:ilvl="0">
      <w:lvlJc w:val="left"/>
      <w:lvlText w:val="%1"/>
      <w:numFmt w:val="decimal"/>
      <w:start w:val="19"/>
    </w:lvl>
  </w:abstractNum>
  <w:abstractNum w:abstractNumId="349">
    <w:nsid w:val="78BB805A"/>
    <w:multiLevelType w:val="hybridMultilevel"/>
    <w:lvl w:ilvl="0">
      <w:lvlJc w:val="left"/>
      <w:lvlText w:val="%1."/>
      <w:numFmt w:val="decimal"/>
      <w:start w:val="19"/>
    </w:lvl>
  </w:abstractNum>
  <w:abstractNum w:abstractNumId="350">
    <w:nsid w:val="62548F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1">
    <w:nsid w:val="FA085B0"/>
    <w:multiLevelType w:val="hybridMultilevel"/>
    <w:lvl w:ilvl="0">
      <w:lvlJc w:val="left"/>
      <w:lvlText w:val="(%1)"/>
      <w:numFmt w:val="lowerLetter"/>
      <w:start w:val="4"/>
    </w:lvl>
    <w:lvl w:ilvl="1">
      <w:lvlJc w:val="left"/>
      <w:lvlText w:val="(%2)"/>
      <w:numFmt w:val="lowerRoman"/>
      <w:start w:val="1"/>
    </w:lvl>
  </w:abstractNum>
  <w:abstractNum w:abstractNumId="352">
    <w:nsid w:val="4E5DCB5"/>
    <w:multiLevelType w:val="hybridMultilevel"/>
    <w:lvl w:ilvl="0">
      <w:lvlJc w:val="left"/>
      <w:lvlText w:val="(%1)"/>
      <w:numFmt w:val="lowerRoman"/>
      <w:start w:val="5"/>
    </w:lvl>
  </w:abstractNum>
  <w:abstractNum w:abstractNumId="353">
    <w:nsid w:val="41E96BDB"/>
    <w:multiLevelType w:val="hybridMultilevel"/>
    <w:lvl w:ilvl="0">
      <w:lvlJc w:val="left"/>
      <w:lvlText w:val="%1"/>
      <w:numFmt w:val="lowerLetter"/>
      <w:start w:val="1"/>
    </w:lvl>
    <w:lvl w:ilvl="1">
      <w:lvlJc w:val="left"/>
      <w:lvlText w:val="(%2)"/>
      <w:numFmt w:val="lowerRoman"/>
      <w:start w:val="11"/>
    </w:lvl>
  </w:abstractNum>
  <w:abstractNum w:abstractNumId="354">
    <w:nsid w:val="331C4250"/>
    <w:multiLevelType w:val="hybridMultilevel"/>
    <w:lvl w:ilvl="0">
      <w:lvlJc w:val="left"/>
      <w:lvlText w:val="(%1)"/>
      <w:numFmt w:val="lowerLetter"/>
      <w:start w:val="8"/>
    </w:lvl>
    <w:lvl w:ilvl="1">
      <w:lvlJc w:val="left"/>
      <w:lvlText w:val="(%2)"/>
      <w:numFmt w:val="lowerRoman"/>
      <w:start w:val="1"/>
    </w:lvl>
  </w:abstractNum>
  <w:abstractNum w:abstractNumId="355">
    <w:nsid w:val="1B1493C2"/>
    <w:multiLevelType w:val="hybridMultilevel"/>
    <w:lvl w:ilvl="0">
      <w:lvlJc w:val="left"/>
      <w:lvlText w:val="(%1)"/>
      <w:numFmt w:val="lowerRoman"/>
      <w:start w:val="1"/>
    </w:lvl>
  </w:abstractNum>
  <w:abstractNum w:abstractNumId="356">
    <w:nsid w:val="39F06DFD"/>
    <w:multiLevelType w:val="hybridMultilevel"/>
    <w:lvl w:ilvl="0">
      <w:lvlJc w:val="left"/>
      <w:lvlText w:val="(%1)"/>
      <w:numFmt w:val="lowerLetter"/>
      <w:start w:val="1"/>
    </w:lvl>
    <w:lvl w:ilvl="1">
      <w:lvlJc w:val="left"/>
      <w:lvlText w:val="(%2)"/>
      <w:numFmt w:val="lowerRoman"/>
      <w:start w:val="1"/>
    </w:lvl>
  </w:abstractNum>
  <w:abstractNum w:abstractNumId="357">
    <w:nsid w:val="14802F5D"/>
    <w:multiLevelType w:val="hybridMultilevel"/>
    <w:lvl w:ilvl="0">
      <w:lvlJc w:val="left"/>
      <w:lvlText w:val="(%1)"/>
      <w:numFmt w:val="lowerLetter"/>
      <w:start w:val="1"/>
    </w:lvl>
  </w:abstractNum>
  <w:abstractNum w:abstractNumId="358">
    <w:nsid w:val="2774A209"/>
    <w:multiLevelType w:val="hybridMultilevel"/>
    <w:lvl w:ilvl="0">
      <w:lvlJc w:val="left"/>
      <w:lvlText w:val="(%1)"/>
      <w:numFmt w:val="lowerLetter"/>
      <w:start w:val="1"/>
    </w:lvl>
  </w:abstractNum>
  <w:abstractNum w:abstractNumId="359">
    <w:nsid w:val="3785655A"/>
    <w:multiLevelType w:val="hybridMultilevel"/>
    <w:lvl w:ilvl="0">
      <w:lvlJc w:val="left"/>
      <w:lvlText w:val="(%1)"/>
      <w:numFmt w:val="lowerLetter"/>
      <w:start w:val="1"/>
    </w:lvl>
  </w:abstractNum>
  <w:abstractNum w:abstractNumId="360">
    <w:nsid w:val="B2172A"/>
    <w:multiLevelType w:val="hybridMultilevel"/>
    <w:lvl w:ilvl="0">
      <w:lvlJc w:val="left"/>
      <w:lvlText w:val="(%1)"/>
      <w:numFmt w:val="lowerLetter"/>
      <w:start w:val="6"/>
    </w:lvl>
  </w:abstractNum>
  <w:abstractNum w:abstractNumId="361">
    <w:nsid w:val="532C34A5"/>
    <w:multiLevelType w:val="hybridMultilevel"/>
    <w:lvl w:ilvl="0">
      <w:lvlJc w:val="left"/>
      <w:lvlText w:val="(%1)"/>
      <w:numFmt w:val="lowerLetter"/>
      <w:start w:val="1"/>
    </w:lvl>
    <w:lvl w:ilvl="1">
      <w:lvlJc w:val="left"/>
      <w:lvlText w:val="(%2)"/>
      <w:numFmt w:val="lowerRoman"/>
      <w:start w:val="1"/>
    </w:lvl>
  </w:abstractNum>
  <w:abstractNum w:abstractNumId="362">
    <w:nsid w:val="102809E2"/>
    <w:multiLevelType w:val="hybridMultilevel"/>
    <w:lvl w:ilvl="0">
      <w:lvlJc w:val="left"/>
      <w:lvlText w:val="(%1)"/>
      <w:numFmt w:val="lowerLetter"/>
      <w:start w:val="1"/>
    </w:lvl>
  </w:abstractNum>
  <w:abstractNum w:abstractNumId="363">
    <w:nsid w:val="3B2125A3"/>
    <w:multiLevelType w:val="hybridMultilevel"/>
    <w:lvl w:ilvl="0">
      <w:lvlJc w:val="left"/>
      <w:lvlText w:val="(%1)"/>
      <w:numFmt w:val="lowerLetter"/>
      <w:start w:val="2"/>
    </w:lvl>
  </w:abstractNum>
  <w:abstractNum w:abstractNumId="364">
    <w:nsid w:val="AC68FFB"/>
    <w:multiLevelType w:val="hybridMultilevel"/>
    <w:lvl w:ilvl="0">
      <w:lvlJc w:val="left"/>
      <w:lvlText w:val="(%1)"/>
      <w:numFmt w:val="lowerLetter"/>
      <w:start w:val="1"/>
    </w:lvl>
  </w:abstractNum>
  <w:abstractNum w:abstractNumId="365">
    <w:nsid w:val="63DF3FB7"/>
    <w:multiLevelType w:val="hybridMultilevel"/>
    <w:lvl w:ilvl="0">
      <w:lvlJc w:val="left"/>
      <w:lvlText w:val="(%1)"/>
      <w:numFmt w:val="lowerLetter"/>
      <w:start w:val="1"/>
    </w:lvl>
  </w:abstractNum>
  <w:abstractNum w:abstractNumId="366">
    <w:nsid w:val="64996E13"/>
    <w:multiLevelType w:val="hybridMultilevel"/>
    <w:lvl w:ilvl="0">
      <w:lvlJc w:val="left"/>
      <w:lvlText w:val="(%1)"/>
      <w:numFmt w:val="lowerLetter"/>
      <w:start w:val="2"/>
    </w:lvl>
  </w:abstractNum>
  <w:abstractNum w:abstractNumId="367">
    <w:nsid w:val="57A37D47"/>
    <w:multiLevelType w:val="hybridMultilevel"/>
    <w:lvl w:ilvl="0">
      <w:lvlJc w:val="left"/>
      <w:lvlText w:val="(%1)"/>
      <w:numFmt w:val="lowerLetter"/>
      <w:start w:val="1"/>
    </w:lvl>
  </w:abstractNum>
  <w:abstractNum w:abstractNumId="368">
    <w:nsid w:val="74824D54"/>
    <w:multiLevelType w:val="hybridMultilevel"/>
    <w:lvl w:ilvl="0">
      <w:lvlJc w:val="left"/>
      <w:lvlText w:val="(%1)"/>
      <w:numFmt w:val="lowerLetter"/>
      <w:start w:val="1"/>
    </w:lvl>
  </w:abstractNum>
  <w:abstractNum w:abstractNumId="369">
    <w:nsid w:val="6F00529A"/>
    <w:multiLevelType w:val="hybridMultilevel"/>
    <w:lvl w:ilvl="0">
      <w:lvlJc w:val="left"/>
      <w:lvlText w:val="%1"/>
      <w:numFmt w:val="decimal"/>
      <w:start w:val="22"/>
    </w:lvl>
  </w:abstractNum>
  <w:abstractNum w:abstractNumId="370">
    <w:nsid w:val="805B331"/>
    <w:multiLevelType w:val="hybridMultilevel"/>
    <w:lvl w:ilvl="0">
      <w:lvlJc w:val="left"/>
      <w:lvlText w:val="%1."/>
      <w:numFmt w:val="decimal"/>
      <w:start w:val="22"/>
    </w:lvl>
  </w:abstractNum>
  <w:abstractNum w:abstractNumId="371">
    <w:nsid w:val="60A1463"/>
    <w:multiLevelType w:val="hybridMultilevel"/>
    <w:lvl w:ilvl="0">
      <w:lvlJc w:val="left"/>
      <w:lvlText w:val="(%1)"/>
      <w:numFmt w:val="lowerLetter"/>
      <w:start w:val="1"/>
    </w:lvl>
  </w:abstractNum>
  <w:abstractNum w:abstractNumId="372">
    <w:nsid w:val="43773132"/>
    <w:multiLevelType w:val="hybridMultilevel"/>
    <w:lvl w:ilvl="0">
      <w:lvlJc w:val="left"/>
      <w:lvlText w:val="(%1)"/>
      <w:numFmt w:val="lowerLetter"/>
      <w:start w:val="1"/>
    </w:lvl>
  </w:abstractNum>
  <w:abstractNum w:abstractNumId="373">
    <w:nsid w:val="16AC4B23"/>
    <w:multiLevelType w:val="hybridMultilevel"/>
    <w:lvl w:ilvl="0">
      <w:lvlJc w:val="left"/>
      <w:lvlText w:val="(%1)"/>
      <w:numFmt w:val="lowerLetter"/>
      <w:start w:val="3"/>
    </w:lvl>
  </w:abstractNum>
  <w:abstractNum w:abstractNumId="374">
    <w:nsid w:val="76C44E4E"/>
    <w:multiLevelType w:val="hybridMultilevel"/>
    <w:lvl w:ilvl="0">
      <w:lvlJc w:val="left"/>
      <w:lvlText w:val="(%1)"/>
      <w:numFmt w:val="lowerLetter"/>
      <w:start w:val="1"/>
    </w:lvl>
  </w:abstractNum>
  <w:abstractNum w:abstractNumId="375">
    <w:nsid w:val="E04E6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6">
    <w:nsid w:val="31A9DB76"/>
    <w:multiLevelType w:val="hybridMultilevel"/>
    <w:lvl w:ilvl="0">
      <w:lvlJc w:val="left"/>
      <w:lvlText w:val="%1"/>
      <w:numFmt w:val="lowerLetter"/>
      <w:start w:val="1"/>
    </w:lvl>
    <w:lvl w:ilvl="1">
      <w:lvlJc w:val="left"/>
      <w:lvlText w:val="(%2)"/>
      <w:numFmt w:val="lowerRoman"/>
      <w:start w:val="1"/>
    </w:lvl>
  </w:abstractNum>
  <w:abstractNum w:abstractNumId="377">
    <w:nsid w:val="4C4FFF5B"/>
    <w:multiLevelType w:val="hybridMultilevel"/>
    <w:lvl w:ilvl="0">
      <w:lvlJc w:val="left"/>
      <w:lvlText w:val="(%1)"/>
      <w:numFmt w:val="lowerLetter"/>
      <w:start w:val="4"/>
    </w:lvl>
    <w:lvl w:ilvl="1">
      <w:lvlJc w:val="left"/>
      <w:lvlText w:val="(%2)"/>
      <w:numFmt w:val="lowerRoman"/>
      <w:start w:val="1"/>
    </w:lvl>
  </w:abstractNum>
  <w:abstractNum w:abstractNumId="378">
    <w:nsid w:val="51B76675"/>
    <w:multiLevelType w:val="hybridMultilevel"/>
    <w:lvl w:ilvl="0">
      <w:lvlJc w:val="left"/>
      <w:lvlText w:val="(%1)"/>
      <w:numFmt w:val="lowerRoman"/>
      <w:start w:val="4"/>
    </w:lvl>
  </w:abstractNum>
  <w:abstractNum w:abstractNumId="379">
    <w:nsid w:val="59A4BA71"/>
    <w:multiLevelType w:val="hybridMultilevel"/>
    <w:lvl w:ilvl="0">
      <w:lvlJc w:val="left"/>
      <w:lvlText w:val="(%1)"/>
      <w:numFmt w:val="lowerLetter"/>
      <w:start w:val="6"/>
    </w:lvl>
  </w:abstractNum>
  <w:abstractNum w:abstractNumId="380">
    <w:nsid w:val="450B7FB6"/>
    <w:multiLevelType w:val="hybridMultilevel"/>
    <w:lvl w:ilvl="0">
      <w:lvlJc w:val="left"/>
      <w:lvlText w:val="(%1)"/>
      <w:numFmt w:val="lowerLetter"/>
      <w:start w:val="1"/>
    </w:lvl>
  </w:abstractNum>
  <w:abstractNum w:abstractNumId="381">
    <w:nsid w:val="340BF64D"/>
    <w:multiLevelType w:val="hybridMultilevel"/>
    <w:lvl w:ilvl="0">
      <w:lvlJc w:val="left"/>
      <w:lvlText w:val="%1"/>
      <w:numFmt w:val="decimal"/>
      <w:start w:val="23"/>
    </w:lvl>
  </w:abstractNum>
  <w:abstractNum w:abstractNumId="382">
    <w:nsid w:val="69454021"/>
    <w:multiLevelType w:val="hybridMultilevel"/>
    <w:lvl w:ilvl="0">
      <w:lvlJc w:val="left"/>
      <w:lvlText w:val="%1."/>
      <w:numFmt w:val="decimal"/>
      <w:start w:val="23"/>
    </w:lvl>
  </w:abstractNum>
  <w:abstractNum w:abstractNumId="383">
    <w:nsid w:val="49F15C6B"/>
    <w:multiLevelType w:val="hybridMultilevel"/>
    <w:lvl w:ilvl="0">
      <w:lvlJc w:val="left"/>
      <w:lvlText w:val="(%1)"/>
      <w:numFmt w:val="lowerLetter"/>
      <w:start w:val="1"/>
    </w:lvl>
  </w:abstractNum>
  <w:abstractNum w:abstractNumId="384">
    <w:nsid w:val="75F56228"/>
    <w:multiLevelType w:val="hybridMultilevel"/>
    <w:lvl w:ilvl="0">
      <w:lvlJc w:val="left"/>
      <w:lvlText w:val="%1"/>
      <w:numFmt w:val="decimal"/>
      <w:start w:val="24"/>
    </w:lvl>
  </w:abstractNum>
  <w:abstractNum w:abstractNumId="385">
    <w:nsid w:val="1C618271"/>
    <w:multiLevelType w:val="hybridMultilevel"/>
    <w:lvl w:ilvl="0">
      <w:lvlJc w:val="left"/>
      <w:lvlText w:val="%1."/>
      <w:numFmt w:val="decimal"/>
      <w:start w:val="24"/>
    </w:lvl>
  </w:abstractNum>
  <w:abstractNum w:abstractNumId="386">
    <w:nsid w:val="6505F02E"/>
    <w:multiLevelType w:val="hybridMultilevel"/>
    <w:lvl w:ilvl="0">
      <w:lvlJc w:val="left"/>
      <w:lvlText w:val="(%1)"/>
      <w:numFmt w:val="decimal"/>
      <w:start w:val="1"/>
    </w:lvl>
  </w:abstractNum>
  <w:abstractNum w:abstractNumId="387">
    <w:nsid w:val="2FE5D025"/>
    <w:multiLevelType w:val="hybridMultilevel"/>
    <w:lvl w:ilvl="0">
      <w:lvlJc w:val="left"/>
      <w:lvlText w:val="(%1)"/>
      <w:numFmt w:val="decimal"/>
      <w:start w:val="2"/>
    </w:lvl>
  </w:abstractNum>
  <w:abstractNum w:abstractNumId="388">
    <w:nsid w:val="30E1B1CF"/>
    <w:multiLevelType w:val="hybridMultilevel"/>
    <w:lvl w:ilvl="0">
      <w:lvlJc w:val="left"/>
      <w:lvlText w:val="(%1)"/>
      <w:numFmt w:val="lowerLetter"/>
      <w:start w:val="1"/>
    </w:lvl>
  </w:abstractNum>
  <w:abstractNum w:abstractNumId="389">
    <w:nsid w:val="C7A9237"/>
    <w:multiLevelType w:val="hybridMultilevel"/>
    <w:lvl w:ilvl="0">
      <w:lvlJc w:val="left"/>
      <w:lvlText w:val="(%1)"/>
      <w:numFmt w:val="decimal"/>
      <w:start w:val="1"/>
    </w:lvl>
  </w:abstractNum>
  <w:abstractNum w:abstractNumId="390">
    <w:nsid w:val="676B3580"/>
    <w:multiLevelType w:val="hybridMultilevel"/>
    <w:lvl w:ilvl="0">
      <w:lvlJc w:val="left"/>
      <w:lvlText w:val="(%1)"/>
      <w:numFmt w:val="lowerLetter"/>
      <w:start w:val="1"/>
    </w:lvl>
    <w:lvl w:ilvl="1">
      <w:lvlJc w:val="left"/>
      <w:lvlText w:val="(%2)"/>
      <w:numFmt w:val="lowerRoman"/>
      <w:start w:val="1"/>
    </w:lvl>
  </w:abstractNum>
  <w:abstractNum w:abstractNumId="391">
    <w:nsid w:val="3193C8F9"/>
    <w:multiLevelType w:val="hybridMultilevel"/>
    <w:lvl w:ilvl="0">
      <w:lvlJc w:val="left"/>
      <w:lvlText w:val="(%1)"/>
      <w:numFmt w:val="lowerRoman"/>
      <w:start w:val="3"/>
    </w:lvl>
  </w:abstractNum>
  <w:abstractNum w:abstractNumId="392">
    <w:nsid w:val="5FA6C6DC"/>
    <w:multiLevelType w:val="hybridMultilevel"/>
    <w:lvl w:ilvl="0">
      <w:lvlJc w:val="left"/>
      <w:lvlText w:val="%1"/>
      <w:numFmt w:val="decimal"/>
      <w:start w:val="26"/>
    </w:lvl>
  </w:abstractNum>
  <w:abstractNum w:abstractNumId="393">
    <w:nsid w:val="77933F62"/>
    <w:multiLevelType w:val="hybridMultilevel"/>
    <w:lvl w:ilvl="0">
      <w:lvlJc w:val="left"/>
      <w:lvlText w:val="%1."/>
      <w:numFmt w:val="decimal"/>
      <w:start w:val="26"/>
    </w:lvl>
  </w:abstractNum>
  <w:abstractNum w:abstractNumId="394">
    <w:nsid w:val="6CB4EE9C"/>
    <w:multiLevelType w:val="hybridMultilevel"/>
    <w:lvl w:ilvl="0">
      <w:lvlJc w:val="left"/>
      <w:lvlText w:val="(%1)"/>
      <w:numFmt w:val="lowerLetter"/>
      <w:start w:val="1"/>
    </w:lvl>
  </w:abstractNum>
  <w:abstractNum w:abstractNumId="395">
    <w:nsid w:val="6A6D56D7"/>
    <w:multiLevelType w:val="hybridMultilevel"/>
    <w:lvl w:ilvl="0">
      <w:lvlJc w:val="left"/>
      <w:lvlText w:val="(%1)"/>
      <w:numFmt w:val="lowerRoman"/>
      <w:start w:val="1"/>
    </w:lvl>
  </w:abstractNum>
  <w:abstractNum w:abstractNumId="396">
    <w:nsid w:val="5B727F19"/>
    <w:multiLevelType w:val="hybridMultilevel"/>
    <w:lvl w:ilvl="0">
      <w:lvlJc w:val="left"/>
      <w:lvlText w:val="(%1)"/>
      <w:numFmt w:val="lowerLetter"/>
      <w:start w:val="1"/>
    </w:lvl>
  </w:abstractNum>
  <w:abstractNum w:abstractNumId="397">
    <w:nsid w:val="514E5CB0"/>
    <w:multiLevelType w:val="hybridMultilevel"/>
    <w:lvl w:ilvl="0">
      <w:lvlJc w:val="left"/>
      <w:lvlText w:val="(%1)"/>
      <w:numFmt w:val="lowerLetter"/>
      <w:start w:val="1"/>
    </w:lvl>
  </w:abstractNum>
  <w:abstractNum w:abstractNumId="398">
    <w:nsid w:val="4210D41E"/>
    <w:multiLevelType w:val="hybridMultilevel"/>
    <w:lvl w:ilvl="0">
      <w:lvlJc w:val="left"/>
      <w:lvlText w:val="(%1)"/>
      <w:numFmt w:val="lowerLetter"/>
      <w:start w:val="1"/>
    </w:lvl>
    <w:lvl w:ilvl="1">
      <w:lvlJc w:val="left"/>
      <w:lvlText w:val="(%2)"/>
      <w:numFmt w:val="lowerRoman"/>
      <w:start w:val="1"/>
    </w:lvl>
  </w:abstractNum>
  <w:abstractNum w:abstractNumId="399">
    <w:nsid w:val="4FF4CC6D"/>
    <w:multiLevelType w:val="hybridMultilevel"/>
    <w:lvl w:ilvl="0">
      <w:lvlJc w:val="left"/>
      <w:lvlText w:val="(%1)"/>
      <w:numFmt w:val="lowerLetter"/>
      <w:start w:val="2"/>
    </w:lvl>
  </w:abstractNum>
  <w:abstractNum w:abstractNumId="400">
    <w:nsid w:val="404EAF4A"/>
    <w:multiLevelType w:val="hybridMultilevel"/>
    <w:lvl w:ilvl="0">
      <w:lvlJc w:val="left"/>
      <w:lvlText w:val="(%1)"/>
      <w:numFmt w:val="lowerLetter"/>
      <w:start w:val="1"/>
    </w:lvl>
  </w:abstractNum>
  <w:abstractNum w:abstractNumId="401">
    <w:nsid w:val="4A16874F"/>
    <w:multiLevelType w:val="hybridMultilevel"/>
    <w:lvl w:ilvl="0">
      <w:lvlJc w:val="left"/>
      <w:lvlText w:val="(%1)"/>
      <w:numFmt w:val="lowerLetter"/>
      <w:start w:val="1"/>
    </w:lvl>
    <w:lvl w:ilvl="1">
      <w:lvlJc w:val="left"/>
      <w:lvlText w:val="(%2)"/>
      <w:numFmt w:val="lowerRoman"/>
      <w:start w:val="1"/>
    </w:lvl>
  </w:abstractNum>
  <w:abstractNum w:abstractNumId="402">
    <w:nsid w:val="55FEE0D1"/>
    <w:multiLevelType w:val="hybridMultilevel"/>
    <w:lvl w:ilvl="0">
      <w:lvlJc w:val="left"/>
      <w:lvlText w:val="%1"/>
      <w:numFmt w:val="decimal"/>
      <w:start w:val="27"/>
    </w:lvl>
  </w:abstractNum>
  <w:abstractNum w:abstractNumId="403">
    <w:nsid w:val="3C5E07C"/>
    <w:multiLevelType w:val="hybridMultilevel"/>
    <w:lvl w:ilvl="0">
      <w:lvlJc w:val="left"/>
      <w:lvlText w:val="%1."/>
      <w:numFmt w:val="decimal"/>
      <w:start w:val="27"/>
    </w:lvl>
  </w:abstractNum>
  <w:abstractNum w:abstractNumId="404">
    <w:nsid w:val="60C2D273"/>
    <w:multiLevelType w:val="hybridMultilevel"/>
    <w:lvl w:ilvl="0">
      <w:lvlJc w:val="left"/>
      <w:lvlText w:val="(%1)"/>
      <w:numFmt w:val="lowerLetter"/>
      <w:start w:val="1"/>
    </w:lvl>
  </w:abstractNum>
  <w:abstractNum w:abstractNumId="405">
    <w:nsid w:val="4CC32F1F"/>
    <w:multiLevelType w:val="hybridMultilevel"/>
    <w:lvl w:ilvl="0">
      <w:lvlJc w:val="left"/>
      <w:lvlText w:val="(%1)"/>
      <w:numFmt w:val="lowerLetter"/>
      <w:start w:val="1"/>
    </w:lvl>
    <w:lvl w:ilvl="1">
      <w:lvlJc w:val="left"/>
      <w:lvlText w:val="(%2)"/>
      <w:numFmt w:val="lowerRoman"/>
      <w:start w:val="1"/>
    </w:lvl>
  </w:abstractNum>
  <w:abstractNum w:abstractNumId="406">
    <w:nsid w:val="11CAC74A"/>
    <w:multiLevelType w:val="hybridMultilevel"/>
    <w:lvl w:ilvl="0">
      <w:lvlJc w:val="left"/>
      <w:lvlText w:val="(%1)"/>
      <w:numFmt w:val="lowerRoman"/>
      <w:start w:val="11"/>
    </w:lvl>
  </w:abstractNum>
  <w:abstractNum w:abstractNumId="407">
    <w:nsid w:val="126CADE9"/>
    <w:multiLevelType w:val="hybridMultilevel"/>
    <w:lvl w:ilvl="0">
      <w:lvlJc w:val="left"/>
      <w:lvlText w:val="(%1)"/>
      <w:numFmt w:val="lowerLetter"/>
      <w:start w:val="2"/>
    </w:lvl>
  </w:abstractNum>
  <w:abstractNum w:abstractNumId="408">
    <w:nsid w:val="19132E7B"/>
    <w:multiLevelType w:val="hybridMultilevel"/>
    <w:lvl w:ilvl="0">
      <w:lvlJc w:val="left"/>
      <w:lvlText w:val="(%1)"/>
      <w:numFmt w:val="lowerLetter"/>
      <w:start w:val="1"/>
    </w:lvl>
  </w:abstractNum>
  <w:abstractNum w:abstractNumId="409">
    <w:nsid w:val="63822D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0">
    <w:nsid w:val="6C11685A"/>
    <w:multiLevelType w:val="hybridMultilevel"/>
    <w:lvl w:ilvl="0">
      <w:lvlJc w:val="left"/>
      <w:lvlText w:val="%1"/>
      <w:numFmt w:val="lowerLetter"/>
      <w:start w:val="1"/>
    </w:lvl>
    <w:lvl w:ilvl="1">
      <w:lvlJc w:val="left"/>
      <w:lvlText w:val="(%2)"/>
      <w:numFmt w:val="upperLetter"/>
      <w:start w:val="2"/>
    </w:lvl>
  </w:abstractNum>
  <w:abstractNum w:abstractNumId="411">
    <w:nsid w:val="5E1EAE31"/>
    <w:multiLevelType w:val="hybridMultilevel"/>
    <w:lvl w:ilvl="0">
      <w:lvlJc w:val="left"/>
      <w:lvlText w:val="(%1)"/>
      <w:numFmt w:val="lowerLetter"/>
      <w:start w:val="2"/>
    </w:lvl>
    <w:lvl w:ilvl="1">
      <w:lvlJc w:val="left"/>
      <w:lvlText w:val="%2"/>
      <w:numFmt w:val="upperLetter"/>
      <w:start w:val="1"/>
    </w:lvl>
  </w:abstractNum>
  <w:abstractNum w:abstractNumId="412">
    <w:nsid w:val="178E240D"/>
    <w:multiLevelType w:val="hybridMultilevel"/>
    <w:lvl w:ilvl="0">
      <w:lvlJc w:val="left"/>
      <w:lvlText w:val="(%1)"/>
      <w:numFmt w:val="lowerLetter"/>
      <w:start w:val="1"/>
    </w:lvl>
    <w:lvl w:ilvl="1">
      <w:lvlJc w:val="left"/>
      <w:lvlText w:val="(%2)"/>
      <w:numFmt w:val="lowerRoman"/>
      <w:start w:val="1"/>
    </w:lvl>
  </w:abstractNum>
  <w:abstractNum w:abstractNumId="413">
    <w:nsid w:val="5556A87B"/>
    <w:multiLevelType w:val="hybridMultilevel"/>
    <w:lvl w:ilvl="0">
      <w:lvlJc w:val="left"/>
      <w:lvlText w:val="(%1)"/>
      <w:numFmt w:val="lowerLetter"/>
      <w:start w:val="1"/>
    </w:lvl>
  </w:abstractNum>
  <w:abstractNum w:abstractNumId="414">
    <w:nsid w:val="28100A9C"/>
    <w:multiLevelType w:val="hybridMultilevel"/>
    <w:lvl w:ilvl="0">
      <w:lvlJc w:val="left"/>
      <w:lvlText w:val="(%1)"/>
      <w:numFmt w:val="lowerLetter"/>
      <w:start w:val="4"/>
    </w:lvl>
  </w:abstractNum>
  <w:abstractNum w:abstractNumId="415">
    <w:nsid w:val="D838636"/>
    <w:multiLevelType w:val="hybridMultilevel"/>
    <w:lvl w:ilvl="0">
      <w:lvlJc w:val="left"/>
      <w:lvlText w:val="%1"/>
      <w:numFmt w:val="decimal"/>
      <w:start w:val="28"/>
    </w:lvl>
  </w:abstractNum>
  <w:abstractNum w:abstractNumId="416">
    <w:nsid w:val="71B82AED"/>
    <w:multiLevelType w:val="hybridMultilevel"/>
    <w:lvl w:ilvl="0">
      <w:lvlJc w:val="left"/>
      <w:lvlText w:val="%1."/>
      <w:numFmt w:val="decimal"/>
      <w:start w:val="28"/>
    </w:lvl>
  </w:abstractNum>
  <w:abstractNum w:abstractNumId="417">
    <w:nsid w:val="D15FACA"/>
    <w:multiLevelType w:val="hybridMultilevel"/>
    <w:lvl w:ilvl="0">
      <w:lvlJc w:val="left"/>
      <w:lvlText w:val="(%1)"/>
      <w:numFmt w:val="lowerLetter"/>
      <w:start w:val="3"/>
    </w:lvl>
  </w:abstractNum>
  <w:abstractNum w:abstractNumId="418">
    <w:nsid w:val="3D69565B"/>
    <w:multiLevelType w:val="hybridMultilevel"/>
    <w:lvl w:ilvl="0">
      <w:lvlJc w:val="left"/>
      <w:lvlText w:val="(%1)"/>
      <w:numFmt w:val="lowerLetter"/>
      <w:start w:val="1"/>
    </w:lvl>
  </w:abstractNum>
  <w:abstractNum w:abstractNumId="419">
    <w:nsid w:val="2299DCBC"/>
    <w:multiLevelType w:val="hybridMultilevel"/>
    <w:lvl w:ilvl="0">
      <w:lvlJc w:val="left"/>
      <w:lvlText w:val="(%1)"/>
      <w:numFmt w:val="lowerLetter"/>
      <w:start w:val="1"/>
    </w:lvl>
  </w:abstractNum>
  <w:abstractNum w:abstractNumId="420">
    <w:nsid w:val="19908D02"/>
    <w:multiLevelType w:val="hybridMultilevel"/>
    <w:lvl w:ilvl="0">
      <w:lvlJc w:val="left"/>
      <w:lvlText w:val="(%1)"/>
      <w:numFmt w:val="lowerLetter"/>
      <w:start w:val="1"/>
    </w:lvl>
  </w:abstractNum>
  <w:abstractNum w:abstractNumId="421">
    <w:nsid w:val="24D48BDB"/>
    <w:multiLevelType w:val="hybridMultilevel"/>
    <w:lvl w:ilvl="0">
      <w:lvlJc w:val="left"/>
      <w:lvlText w:val="(%1)"/>
      <w:numFmt w:val="lowerLetter"/>
      <w:start w:val="1"/>
    </w:lvl>
  </w:abstractNum>
  <w:abstractNum w:abstractNumId="422">
    <w:nsid w:val="542DA5B5"/>
    <w:multiLevelType w:val="hybridMultilevel"/>
    <w:lvl w:ilvl="0">
      <w:lvlJc w:val="left"/>
      <w:lvlText w:val="(%1)"/>
      <w:numFmt w:val="lowerLetter"/>
      <w:start w:val="1"/>
    </w:lvl>
    <w:lvl w:ilvl="1">
      <w:lvlJc w:val="left"/>
      <w:lvlText w:val="(%2)"/>
      <w:numFmt w:val="lowerRoman"/>
      <w:start w:val="1"/>
    </w:lvl>
  </w:abstractNum>
  <w:abstractNum w:abstractNumId="423">
    <w:nsid w:val="793753DE"/>
    <w:multiLevelType w:val="hybridMultilevel"/>
    <w:lvl w:ilvl="0">
      <w:lvlJc w:val="left"/>
      <w:lvlText w:val="(%1)"/>
      <w:numFmt w:val="lowerRoman"/>
      <w:start w:val="3"/>
    </w:lvl>
  </w:abstractNum>
  <w:abstractNum w:abstractNumId="424">
    <w:nsid w:val="1C67CB3D"/>
    <w:multiLevelType w:val="hybridMultilevel"/>
    <w:lvl w:ilvl="0">
      <w:lvlJc w:val="left"/>
      <w:lvlText w:val="%1"/>
      <w:numFmt w:val="decimal"/>
      <w:start w:val="30"/>
    </w:lvl>
  </w:abstractNum>
  <w:abstractNum w:abstractNumId="425">
    <w:nsid w:val="40E29452"/>
    <w:multiLevelType w:val="hybridMultilevel"/>
    <w:lvl w:ilvl="0">
      <w:lvlJc w:val="left"/>
      <w:lvlText w:val="%1."/>
      <w:numFmt w:val="decimal"/>
      <w:start w:val="30"/>
    </w:lvl>
  </w:abstractNum>
  <w:abstractNum w:abstractNumId="426">
    <w:nsid w:val="63A4AAB6"/>
    <w:multiLevelType w:val="hybridMultilevel"/>
    <w:lvl w:ilvl="0">
      <w:lvlJc w:val="left"/>
      <w:lvlText w:val="(%1)"/>
      <w:numFmt w:val="lowerLetter"/>
      <w:start w:val="1"/>
    </w:lvl>
    <w:lvl w:ilvl="1">
      <w:lvlJc w:val="left"/>
      <w:lvlText w:val="(%2)"/>
      <w:numFmt w:val="lowerRoman"/>
      <w:start w:val="1"/>
    </w:lvl>
  </w:abstractNum>
  <w:abstractNum w:abstractNumId="427">
    <w:nsid w:val="77DA4A57"/>
    <w:multiLevelType w:val="hybridMultilevel"/>
    <w:lvl w:ilvl="0">
      <w:lvlJc w:val="left"/>
      <w:lvlText w:val="(%1)"/>
      <w:numFmt w:val="lowerRoman"/>
      <w:start w:val="6"/>
    </w:lvl>
  </w:abstractNum>
  <w:abstractNum w:abstractNumId="428">
    <w:nsid w:val="1230F102"/>
    <w:multiLevelType w:val="hybridMultilevel"/>
    <w:lvl w:ilvl="0">
      <w:lvlJc w:val="left"/>
      <w:lvlText w:val="%1"/>
      <w:numFmt w:val="lowerLetter"/>
      <w:start w:val="1"/>
    </w:lvl>
    <w:lvl w:ilvl="1">
      <w:lvlJc w:val="left"/>
      <w:lvlText w:val="(%2)"/>
      <w:numFmt w:val="upperLetter"/>
      <w:start w:val="1"/>
    </w:lvl>
  </w:abstractNum>
  <w:abstractNum w:abstractNumId="429">
    <w:nsid w:val="25B57ED4"/>
    <w:multiLevelType w:val="hybridMultilevel"/>
    <w:lvl w:ilvl="0">
      <w:lvlJc w:val="left"/>
      <w:lvlText w:val="(%1)"/>
      <w:numFmt w:val="lowerLetter"/>
      <w:start w:val="3"/>
    </w:lvl>
    <w:lvl w:ilvl="1">
      <w:lvlJc w:val="left"/>
      <w:lvlText w:val="%2"/>
      <w:numFmt w:val="upperLetter"/>
      <w:start w:val="1"/>
    </w:lvl>
  </w:abstractNum>
  <w:abstractNum w:abstractNumId="430">
    <w:nsid w:val="47CF16C4"/>
    <w:multiLevelType w:val="hybridMultilevel"/>
    <w:lvl w:ilvl="0">
      <w:lvlJc w:val="left"/>
      <w:lvlText w:val="(%1)"/>
      <w:numFmt w:val="lowerLetter"/>
      <w:start w:val="4"/>
    </w:lvl>
  </w:abstractNum>
  <w:abstractNum w:abstractNumId="431">
    <w:nsid w:val="527FA04C"/>
    <w:multiLevelType w:val="hybridMultilevel"/>
    <w:lvl w:ilvl="0">
      <w:lvlJc w:val="left"/>
      <w:lvlText w:val="(%1)"/>
      <w:numFmt w:val="lowerLetter"/>
      <w:start w:val="1"/>
    </w:lvl>
    <w:lvl w:ilvl="1">
      <w:lvlJc w:val="left"/>
      <w:lvlText w:val="(%2)"/>
      <w:numFmt w:val="lowerRoman"/>
      <w:start w:val="1"/>
    </w:lvl>
  </w:abstractNum>
  <w:abstractNum w:abstractNumId="432">
    <w:nsid w:val="6FCC0624"/>
    <w:multiLevelType w:val="hybridMultilevel"/>
    <w:lvl w:ilvl="0">
      <w:lvlJc w:val="left"/>
      <w:lvlText w:val="(%1)"/>
      <w:numFmt w:val="lowerLetter"/>
      <w:start w:val="2"/>
    </w:lvl>
  </w:abstractNum>
  <w:abstractNum w:abstractNumId="433">
    <w:nsid w:val="1DCDF795"/>
    <w:multiLevelType w:val="hybridMultilevel"/>
    <w:lvl w:ilvl="0">
      <w:lvlJc w:val="left"/>
      <w:lvlText w:val="(%1)"/>
      <w:numFmt w:val="lowerLetter"/>
      <w:start w:val="3"/>
    </w:lvl>
    <w:lvl w:ilvl="1">
      <w:lvlJc w:val="left"/>
      <w:lvlText w:val="(%2)"/>
      <w:numFmt w:val="lowerRoman"/>
      <w:start w:val="1"/>
    </w:lvl>
  </w:abstractNum>
  <w:abstractNum w:abstractNumId="434">
    <w:nsid w:val="564580C8"/>
    <w:multiLevelType w:val="hybridMultilevel"/>
    <w:lvl w:ilvl="0">
      <w:lvlJc w:val="left"/>
      <w:lvlText w:val="(%1)"/>
      <w:numFmt w:val="lowerLetter"/>
      <w:start w:val="1"/>
    </w:lvl>
  </w:abstractNum>
  <w:abstractNum w:abstractNumId="435">
    <w:nsid w:val="508ED897"/>
    <w:multiLevelType w:val="hybridMultilevel"/>
    <w:lvl w:ilvl="0">
      <w:lvlJc w:val="left"/>
      <w:lvlText w:val="(%1)"/>
      <w:numFmt w:val="lowerLetter"/>
      <w:start w:val="1"/>
    </w:lvl>
  </w:abstractNum>
  <w:abstractNum w:abstractNumId="436">
    <w:nsid w:val="6A9126B5"/>
    <w:multiLevelType w:val="hybridMultilevel"/>
    <w:lvl w:ilvl="0">
      <w:lvlJc w:val="left"/>
      <w:lvlText w:val="(%1)"/>
      <w:numFmt w:val="lowerLetter"/>
      <w:start w:val="1"/>
    </w:lvl>
  </w:abstractNum>
  <w:abstractNum w:abstractNumId="437">
    <w:nsid w:val="68104812"/>
    <w:multiLevelType w:val="hybridMultilevel"/>
    <w:lvl w:ilvl="0">
      <w:lvlJc w:val="left"/>
      <w:lvlText w:val="(%1)"/>
      <w:numFmt w:val="lowerLetter"/>
      <w:start w:val="1"/>
    </w:lvl>
  </w:abstractNum>
  <w:abstractNum w:abstractNumId="438">
    <w:nsid w:val="62FB8680"/>
    <w:multiLevelType w:val="hybridMultilevel"/>
    <w:lvl w:ilvl="0">
      <w:lvlJc w:val="left"/>
      <w:lvlText w:val="%1"/>
      <w:numFmt w:val="decimal"/>
      <w:start w:val="32"/>
    </w:lvl>
  </w:abstractNum>
  <w:abstractNum w:abstractNumId="439">
    <w:nsid w:val="3A45530"/>
    <w:multiLevelType w:val="hybridMultilevel"/>
    <w:lvl w:ilvl="0">
      <w:lvlJc w:val="left"/>
      <w:lvlText w:val="%1."/>
      <w:numFmt w:val="decimal"/>
      <w:start w:val="32"/>
    </w:lvl>
  </w:abstractNum>
  <w:abstractNum w:abstractNumId="440">
    <w:nsid w:val="4B9275D2"/>
    <w:multiLevelType w:val="hybridMultilevel"/>
    <w:lvl w:ilvl="0">
      <w:lvlJc w:val="left"/>
      <w:lvlText w:val="(%1)"/>
      <w:numFmt w:val="lowerLetter"/>
      <w:start w:val="1"/>
    </w:lvl>
  </w:abstractNum>
  <w:abstractNum w:abstractNumId="441">
    <w:nsid w:val="4F0CEEDB"/>
    <w:multiLevelType w:val="hybridMultilevel"/>
    <w:lvl w:ilvl="0">
      <w:lvlJc w:val="left"/>
      <w:lvlText w:val="1"/>
      <w:numFmt w:val="bullet"/>
      <w:start w:val="1"/>
    </w:lvl>
  </w:abstractNum>
  <w:abstractNum w:abstractNumId="442">
    <w:nsid w:val="61C30361"/>
    <w:multiLevelType w:val="hybridMultilevel"/>
    <w:lvl w:ilvl="0">
      <w:lvlJc w:val="left"/>
      <w:lvlText w:val="2"/>
      <w:numFmt w:val="bullet"/>
      <w:start w:val="1"/>
    </w:lvl>
  </w:abstractNum>
  <w:abstractNum w:abstractNumId="443">
    <w:nsid w:val="632099E0"/>
    <w:multiLevelType w:val="hybridMultilevel"/>
    <w:lvl w:ilvl="0">
      <w:lvlJc w:val="left"/>
      <w:lvlText w:val="(%1)"/>
      <w:numFmt w:val="lowerLetter"/>
      <w:start w:val="1"/>
    </w:lvl>
  </w:abstractNum>
  <w:abstractNum w:abstractNumId="444">
    <w:nsid w:val="24639756"/>
    <w:multiLevelType w:val="hybridMultilevel"/>
    <w:lvl w:ilvl="0">
      <w:lvlJc w:val="left"/>
      <w:lvlText w:val="3"/>
      <w:numFmt w:val="bullet"/>
      <w:start w:val="1"/>
    </w:lvl>
  </w:abstractNum>
  <w:abstractNum w:abstractNumId="445">
    <w:nsid w:val="9D30DFD"/>
    <w:multiLevelType w:val="hybridMultilevel"/>
    <w:lvl w:ilvl="0">
      <w:lvlJc w:val="left"/>
      <w:lvlText w:val="(%1)"/>
      <w:numFmt w:val="lowerLetter"/>
      <w:start w:val="1"/>
    </w:lvl>
  </w:abstractNum>
  <w:abstractNum w:abstractNumId="446">
    <w:nsid w:val="70A42016"/>
    <w:multiLevelType w:val="hybridMultilevel"/>
    <w:lvl w:ilvl="0">
      <w:lvlJc w:val="left"/>
      <w:lvlText w:val="4"/>
      <w:numFmt w:val="bullet"/>
      <w:start w:val="1"/>
    </w:lvl>
  </w:abstractNum>
  <w:abstractNum w:abstractNumId="447">
    <w:nsid w:val="161BC243"/>
    <w:multiLevelType w:val="hybridMultilevel"/>
    <w:lvl w:ilvl="0">
      <w:lvlJc w:val="left"/>
      <w:lvlText w:val="1"/>
      <w:numFmt w:val="bullet"/>
      <w:start w:val="1"/>
    </w:lvl>
  </w:abstractNum>
  <w:abstractNum w:abstractNumId="448">
    <w:nsid w:val="16E908C8"/>
    <w:multiLevelType w:val="hybridMultilevel"/>
    <w:lvl w:ilvl="0">
      <w:lvlJc w:val="left"/>
      <w:lvlText w:val="(%1)"/>
      <w:numFmt w:val="lowerLetter"/>
      <w:start w:val="1"/>
    </w:lvl>
  </w:abstractNum>
  <w:abstractNum w:abstractNumId="449">
    <w:nsid w:val="2E0D7671"/>
    <w:multiLevelType w:val="hybridMultilevel"/>
    <w:lvl w:ilvl="0">
      <w:lvlJc w:val="left"/>
      <w:lvlText w:val="2"/>
      <w:numFmt w:val="bullet"/>
      <w:start w:val="1"/>
    </w:lvl>
  </w:abstractNum>
  <w:abstractNum w:abstractNumId="450">
    <w:nsid w:val="38B59EFF"/>
    <w:multiLevelType w:val="hybridMultilevel"/>
    <w:lvl w:ilvl="0">
      <w:lvlJc w:val="left"/>
      <w:lvlText w:val="3"/>
      <w:numFmt w:val="bullet"/>
      <w:start w:val="1"/>
    </w:lvl>
  </w:abstractNum>
  <w:abstractNum w:abstractNumId="451">
    <w:nsid w:val="307995CA"/>
    <w:multiLevelType w:val="hybridMultilevel"/>
    <w:lvl w:ilvl="0">
      <w:lvlJc w:val="left"/>
      <w:lvlText w:val="4"/>
      <w:numFmt w:val="bullet"/>
      <w:start w:val="1"/>
    </w:lvl>
  </w:abstractNum>
  <w:abstractNum w:abstractNumId="452">
    <w:nsid w:val="52E2024D"/>
    <w:multiLevelType w:val="hybridMultilevel"/>
    <w:lvl w:ilvl="0">
      <w:lvlJc w:val="left"/>
      <w:lvlText w:val="5"/>
      <w:numFmt w:val="bullet"/>
      <w:start w:val="1"/>
    </w:lvl>
  </w:abstractNum>
  <w:abstractNum w:abstractNumId="453">
    <w:nsid w:val="CE344B5"/>
    <w:multiLevelType w:val="hybridMultilevel"/>
    <w:lvl w:ilvl="0">
      <w:lvlJc w:val="left"/>
      <w:lvlText w:val="6"/>
      <w:numFmt w:val="bullet"/>
      <w:start w:val="1"/>
    </w:lvl>
  </w:abstractNum>
  <w:abstractNum w:abstractNumId="454">
    <w:nsid w:val="29B0E9A8"/>
    <w:multiLevelType w:val="hybridMultilevel"/>
    <w:lvl w:ilvl="0">
      <w:lvlJc w:val="left"/>
      <w:lvlText w:val="8"/>
      <w:numFmt w:val="bullet"/>
      <w:start w:val="1"/>
    </w:lvl>
  </w:abstractNum>
  <w:abstractNum w:abstractNumId="455">
    <w:nsid w:val="6F49CD8A"/>
    <w:multiLevelType w:val="hybridMultilevel"/>
    <w:lvl w:ilvl="0">
      <w:lvlJc w:val="left"/>
      <w:lvlText w:val="9"/>
      <w:numFmt w:val="bullet"/>
      <w:start w:val="1"/>
    </w:lvl>
  </w:abstractNum>
  <w:abstractNum w:abstractNumId="456">
    <w:nsid w:val="4DC5D907"/>
    <w:multiLevelType w:val="hybridMultilevel"/>
    <w:lvl w:ilvl="0">
      <w:lvlJc w:val="left"/>
      <w:lvlText w:val="%1"/>
      <w:numFmt w:val="decimal"/>
      <w:start w:val="11"/>
    </w:lvl>
  </w:abstractNum>
  <w:abstractNum w:abstractNumId="457">
    <w:nsid w:val="D55945E"/>
    <w:multiLevelType w:val="hybridMultilevel"/>
    <w:lvl w:ilvl="0">
      <w:lvlJc w:val="left"/>
      <w:lvlText w:val="1"/>
      <w:numFmt w:val="bullet"/>
      <w:start w:val="1"/>
    </w:lvl>
  </w:abstractNum>
  <w:abstractNum w:abstractNumId="458">
    <w:nsid w:val="672417E1"/>
    <w:multiLevelType w:val="hybridMultilevel"/>
    <w:lvl w:ilvl="0">
      <w:lvlJc w:val="left"/>
      <w:lvlText w:val="2"/>
      <w:numFmt w:val="bullet"/>
      <w:start w:val="1"/>
    </w:lvl>
  </w:abstractNum>
  <w:abstractNum w:abstractNumId="459">
    <w:nsid w:val="5FF6CA09"/>
    <w:multiLevelType w:val="hybridMultilevel"/>
    <w:lvl w:ilvl="0">
      <w:lvlJc w:val="left"/>
      <w:lvlText w:val="(%1)"/>
      <w:numFmt w:val="lowerLetter"/>
      <w:start w:val="1"/>
    </w:lvl>
  </w:abstractNum>
  <w:abstractNum w:abstractNumId="460">
    <w:nsid w:val="330B1333"/>
    <w:multiLevelType w:val="hybridMultilevel"/>
    <w:lvl w:ilvl="0">
      <w:lvlJc w:val="left"/>
      <w:lvlText w:val="4"/>
      <w:numFmt w:val="bullet"/>
      <w:start w:val="1"/>
    </w:lvl>
  </w:abstractNum>
  <w:abstractNum w:abstractNumId="461">
    <w:nsid w:val="2EF32EA6"/>
    <w:multiLevelType w:val="hybridMultilevel"/>
    <w:lvl w:ilvl="0">
      <w:lvlJc w:val="left"/>
      <w:lvlText w:val="(%1)"/>
      <w:numFmt w:val="lowerLetter"/>
      <w:start w:val="1"/>
    </w:lvl>
  </w:abstractNum>
  <w:abstractNum w:abstractNumId="462">
    <w:nsid w:val="32766A55"/>
    <w:multiLevelType w:val="hybridMultilevel"/>
    <w:lvl w:ilvl="0">
      <w:lvlJc w:val="left"/>
      <w:lvlText w:val="(%1)"/>
      <w:numFmt w:val="lowerLetter"/>
      <w:start w:val="3"/>
    </w:lvl>
  </w:abstractNum>
  <w:abstractNum w:abstractNumId="463">
    <w:nsid w:val="22D71957"/>
    <w:multiLevelType w:val="hybridMultilevel"/>
    <w:lvl w:ilvl="0">
      <w:lvlJc w:val="left"/>
      <w:lvlText w:val="5"/>
      <w:numFmt w:val="bullet"/>
      <w:start w:val="1"/>
    </w:lvl>
  </w:abstractNum>
  <w:abstractNum w:abstractNumId="464">
    <w:nsid w:val="4CC1263B"/>
    <w:multiLevelType w:val="hybridMultilevel"/>
    <w:lvl w:ilvl="0">
      <w:lvlJc w:val="left"/>
      <w:lvlText w:val="6"/>
      <w:numFmt w:val="bullet"/>
      <w:start w:val="1"/>
    </w:lvl>
  </w:abstractNum>
  <w:abstractNum w:abstractNumId="465">
    <w:nsid w:val="8BBEB1D"/>
    <w:multiLevelType w:val="hybridMultilevel"/>
    <w:lvl w:ilvl="0">
      <w:lvlJc w:val="left"/>
      <w:lvlText w:val="7"/>
      <w:numFmt w:val="bullet"/>
      <w:start w:val="1"/>
    </w:lvl>
  </w:abstractNum>
  <w:abstractNum w:abstractNumId="466">
    <w:nsid w:val="7365F1EE"/>
    <w:multiLevelType w:val="hybridMultilevel"/>
    <w:lvl w:ilvl="0">
      <w:lvlJc w:val="left"/>
      <w:lvlText w:val="8"/>
      <w:numFmt w:val="bullet"/>
      <w:start w:val="1"/>
    </w:lvl>
  </w:abstractNum>
  <w:abstractNum w:abstractNumId="467">
    <w:nsid w:val="37524CF0"/>
    <w:multiLevelType w:val="hybridMultilevel"/>
    <w:lvl w:ilvl="0">
      <w:lvlJc w:val="left"/>
      <w:lvlText w:val="9"/>
      <w:numFmt w:val="bullet"/>
      <w:start w:val="1"/>
    </w:lvl>
  </w:abstractNum>
  <w:abstractNum w:abstractNumId="468">
    <w:nsid w:val="70CC332F"/>
    <w:multiLevelType w:val="hybridMultilevel"/>
    <w:lvl w:ilvl="0">
      <w:lvlJc w:val="left"/>
      <w:lvlText w:val="1"/>
      <w:numFmt w:val="bullet"/>
      <w:start w:val="1"/>
    </w:lvl>
  </w:abstractNum>
  <w:abstractNum w:abstractNumId="469">
    <w:nsid w:val="5661786E"/>
    <w:multiLevelType w:val="hybridMultilevel"/>
    <w:lvl w:ilvl="0">
      <w:lvlJc w:val="left"/>
      <w:lvlText w:val="2"/>
      <w:numFmt w:val="bullet"/>
      <w:start w:val="1"/>
    </w:lvl>
  </w:abstractNum>
  <w:abstractNum w:abstractNumId="470">
    <w:nsid w:val="3AF6A220"/>
    <w:multiLevelType w:val="hybridMultilevel"/>
    <w:lvl w:ilvl="0">
      <w:lvlJc w:val="left"/>
      <w:lvlText w:val="3"/>
      <w:numFmt w:val="bullet"/>
      <w:start w:val="1"/>
    </w:lvl>
  </w:abstractNum>
  <w:abstractNum w:abstractNumId="471">
    <w:nsid w:val="3C5EA902"/>
    <w:multiLevelType w:val="hybridMultilevel"/>
    <w:lvl w:ilvl="0">
      <w:lvlJc w:val="left"/>
      <w:lvlText w:val="4"/>
      <w:numFmt w:val="bullet"/>
      <w:start w:val="1"/>
    </w:lvl>
  </w:abstractNum>
  <w:abstractNum w:abstractNumId="472">
    <w:nsid w:val="256E6749"/>
    <w:multiLevelType w:val="hybridMultilevel"/>
    <w:lvl w:ilvl="0">
      <w:lvlJc w:val="left"/>
      <w:lvlText w:val="5"/>
      <w:numFmt w:val="bullet"/>
      <w:start w:val="1"/>
    </w:lvl>
  </w:abstractNum>
  <w:abstractNum w:abstractNumId="473">
    <w:nsid w:val="1CB9A581"/>
    <w:multiLevelType w:val="hybridMultilevel"/>
    <w:lvl w:ilvl="0">
      <w:lvlJc w:val="left"/>
      <w:lvlText w:val="6"/>
      <w:numFmt w:val="bullet"/>
      <w:start w:val="1"/>
    </w:lvl>
  </w:abstractNum>
  <w:abstractNum w:abstractNumId="474">
    <w:nsid w:val="1F7F42E2"/>
    <w:multiLevelType w:val="hybridMultilevel"/>
    <w:lvl w:ilvl="0">
      <w:lvlJc w:val="left"/>
      <w:lvlText w:val="7"/>
      <w:numFmt w:val="bullet"/>
      <w:start w:val="1"/>
    </w:lvl>
  </w:abstractNum>
  <w:abstractNum w:abstractNumId="475">
    <w:nsid w:val="49D1FEA0"/>
    <w:multiLevelType w:val="hybridMultilevel"/>
    <w:lvl w:ilvl="0">
      <w:lvlJc w:val="left"/>
      <w:lvlText w:val="8"/>
      <w:numFmt w:val="bullet"/>
      <w:start w:val="1"/>
    </w:lvl>
  </w:abstractNum>
  <w:abstractNum w:abstractNumId="476">
    <w:nsid w:val="268CB37F"/>
    <w:multiLevelType w:val="hybridMultilevel"/>
    <w:lvl w:ilvl="0">
      <w:lvlJc w:val="left"/>
      <w:lvlText w:val="(%1)"/>
      <w:numFmt w:val="lowerLetter"/>
      <w:start w:val="1"/>
    </w:lvl>
    <w:lvl w:ilvl="1">
      <w:lvlJc w:val="left"/>
      <w:lvlText w:val="(%2)"/>
      <w:numFmt w:val="lowerRoman"/>
      <w:start w:val="1"/>
    </w:lvl>
  </w:abstractNum>
  <w:abstractNum w:abstractNumId="477">
    <w:nsid w:val="102362F8"/>
    <w:multiLevelType w:val="hybridMultilevel"/>
    <w:lvl w:ilvl="0">
      <w:lvlJc w:val="left"/>
      <w:lvlText w:val="9"/>
      <w:numFmt w:val="bullet"/>
      <w:start w:val="1"/>
    </w:lvl>
  </w:abstractNum>
  <w:abstractNum w:abstractNumId="478">
    <w:nsid w:val="5FEDC0E3"/>
    <w:multiLevelType w:val="hybridMultilevel"/>
    <w:lvl w:ilvl="0">
      <w:lvlJc w:val="left"/>
      <w:lvlText w:val="(%1)"/>
      <w:numFmt w:val="lowerLetter"/>
      <w:start w:val="1"/>
    </w:lvl>
    <w:lvl w:ilvl="1">
      <w:lvlJc w:val="left"/>
      <w:lvlText w:val="(%2)"/>
      <w:numFmt w:val="lowerRoman"/>
      <w:start w:val="1"/>
    </w:lvl>
  </w:abstractNum>
  <w:abstractNum w:abstractNumId="479">
    <w:nsid w:val="3D75BC47"/>
    <w:multiLevelType w:val="hybridMultilevel"/>
    <w:lvl w:ilvl="0">
      <w:lvlJc w:val="left"/>
      <w:lvlText w:val="%1"/>
      <w:numFmt w:val="decimal"/>
      <w:start w:val="10"/>
    </w:lvl>
  </w:abstractNum>
  <w:abstractNum w:abstractNumId="480">
    <w:nsid w:val="3E30D969"/>
    <w:multiLevelType w:val="hybridMultilevel"/>
    <w:lvl w:ilvl="0">
      <w:lvlJc w:val="left"/>
      <w:lvlText w:val="%1"/>
      <w:numFmt w:val="decimal"/>
      <w:start w:val="11"/>
    </w:lvl>
  </w:abstractNum>
  <w:abstractNum w:abstractNumId="481">
    <w:nsid w:val="18A35FE3"/>
    <w:multiLevelType w:val="hybridMultilevel"/>
    <w:lvl w:ilvl="0">
      <w:lvlJc w:val="left"/>
      <w:lvlText w:val="(%1)"/>
      <w:numFmt w:val="lowerLetter"/>
      <w:start w:val="1"/>
    </w:lvl>
  </w:abstractNum>
  <w:abstractNum w:abstractNumId="482">
    <w:nsid w:val="6DEF5211"/>
    <w:multiLevelType w:val="hybridMultilevel"/>
    <w:lvl w:ilvl="0">
      <w:lvlJc w:val="left"/>
      <w:lvlText w:val="%1."/>
      <w:numFmt w:val="decimal"/>
      <w:start w:val="1"/>
    </w:lvl>
    <w:lvl w:ilvl="1">
      <w:lvlJc w:val="left"/>
      <w:lvlText w:val="%2."/>
      <w:numFmt w:val="lowerLetter"/>
      <w:start w:val="1"/>
    </w:lvl>
  </w:abstractNum>
  <w:abstractNum w:abstractNumId="483">
    <w:nsid w:val="1112DBB6"/>
    <w:multiLevelType w:val="hybridMultilevel"/>
    <w:lvl w:ilvl="0">
      <w:lvlJc w:val="left"/>
      <w:lvlText w:val="%1."/>
      <w:numFmt w:val="decimal"/>
      <w:start w:val="1"/>
    </w:lvl>
    <w:lvl w:ilvl="1">
      <w:lvlJc w:val="left"/>
      <w:lvlText w:val="%2."/>
      <w:numFmt w:val="lowerLetter"/>
      <w:start w:val="1"/>
    </w:lvl>
  </w:abstractNum>
  <w:abstractNum w:abstractNumId="484">
    <w:nsid w:val="2586A498"/>
    <w:multiLevelType w:val="hybridMultilevel"/>
    <w:lvl w:ilvl="0">
      <w:lvlJc w:val="left"/>
      <w:lvlText w:val="(%1)"/>
      <w:numFmt w:val="lowerLetter"/>
      <w:start w:val="1"/>
    </w:lvl>
  </w:abstractNum>
  <w:abstractNum w:abstractNumId="485">
    <w:nsid w:val="17A03BB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jpeg"/><Relationship Id="rId217" Type="http://schemas.openxmlformats.org/officeDocument/2006/relationships/image" Target="media/image182.png"/><Relationship Id="rId218" Type="http://schemas.openxmlformats.org/officeDocument/2006/relationships/image" Target="media/image183.jpeg"/><Relationship Id="rId219" Type="http://schemas.openxmlformats.org/officeDocument/2006/relationships/image" Target="media/image184.jpe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115" Type="http://schemas.openxmlformats.org/officeDocument/2006/relationships/hyperlink" Target="https://www.sec.gov/Archives/edgar/data/1392326/000104746907001935/a2176615zex-3_1.htm" TargetMode="External"/><Relationship Id="rId116" Type="http://schemas.openxmlformats.org/officeDocument/2006/relationships/hyperlink" Target="https://www.sec.gov/Archives/edgar/data/1392326/000095015710000320/form6k.htm" TargetMode="External"/><Relationship Id="rId117" Type="http://schemas.openxmlformats.org/officeDocument/2006/relationships/hyperlink" Target="https://www.sec.gov/Archives/edgar/data/1392326/000095012311087926/y92932exv99wi.htm" TargetMode="External"/><Relationship Id="rId118" Type="http://schemas.openxmlformats.org/officeDocument/2006/relationships/hyperlink" Target="https://www.sec.gov/Archives/edgar/data/1392326/000089183612000054/ex_99-2.htm" TargetMode="External"/><Relationship Id="rId119" Type="http://schemas.openxmlformats.org/officeDocument/2006/relationships/hyperlink" Target="https://www.sec.gov/Archives/edgar/data/1392326/000089183613000070/ex_99-2.htm" TargetMode="External"/><Relationship Id="rId120" Type="http://schemas.openxmlformats.org/officeDocument/2006/relationships/hyperlink" Target="https://www.sec.gov/Archives/edgar/data/1392326/000089183614000108/ex_99-1.htm" TargetMode="External"/><Relationship Id="rId121" Type="http://schemas.openxmlformats.org/officeDocument/2006/relationships/hyperlink" Target="https://www.sec.gov/Archives/edgar/data/1392326/000104746907001935/a2176615zex-3_3.htm" TargetMode="External"/><Relationship Id="rId122" Type="http://schemas.openxmlformats.org/officeDocument/2006/relationships/hyperlink" Target="https://www.sec.gov/Archives/edgar/data/1392326/000104746907001935/a2176615zex-3_4.htm" TargetMode="External"/><Relationship Id="rId123" Type="http://schemas.openxmlformats.org/officeDocument/2006/relationships/hyperlink" Target="https://www.sec.gov/Archives/edgar/data/1392326/000104746907001935/a2176615zex-3_5.htm" TargetMode="External"/><Relationship Id="rId124" Type="http://schemas.openxmlformats.org/officeDocument/2006/relationships/hyperlink" Target="https://www.sec.gov/Archives/edgar/data/1392326/000119312519074969/d709017dex99i.htm" TargetMode="External"/><Relationship Id="rId125" Type="http://schemas.openxmlformats.org/officeDocument/2006/relationships/hyperlink" Target="https://www.sec.gov/Archives/edgar/data/1392326/000119312522123927/d332302dex44.htm" TargetMode="External"/><Relationship Id="rId126" Type="http://schemas.openxmlformats.org/officeDocument/2006/relationships/hyperlink" Target="https://www.sec.gov/Archives/edgar/data/1392326/000119312522123927/d332302dex45.htm" TargetMode="External"/><Relationship Id="rId127" Type="http://schemas.openxmlformats.org/officeDocument/2006/relationships/hyperlink" Target="https://www.sec.gov/Archives/edgar/data/1392326/000095012311087926/y92932exv99wii.htm" TargetMode="External"/><Relationship Id="rId128" Type="http://schemas.openxmlformats.org/officeDocument/2006/relationships/hyperlink" Target="https://www.sec.gov/Archives/edgar/data/1392326/000119312519274590/d806127dex101.htm" TargetMode="External"/><Relationship Id="rId129" Type="http://schemas.openxmlformats.org/officeDocument/2006/relationships/hyperlink" Target="https://www.sec.gov/Archives/edgar/data/1392326/000119312522123927/d332302dex48.htm" TargetMode="External"/><Relationship Id="rId130" Type="http://schemas.openxmlformats.org/officeDocument/2006/relationships/hyperlink" Target="https://www.sec.gov/Archives/edgar/data/1392326/000104746907001935/a2176615zex-10_4.htm" TargetMode="External"/><Relationship Id="rId131" Type="http://schemas.openxmlformats.org/officeDocument/2006/relationships/hyperlink" Target="https://www.sec.gov/Archives/edgar/data/1392326/000119312513038546/d472929dex442.htm" TargetMode="External"/><Relationship Id="rId132" Type="http://schemas.openxmlformats.org/officeDocument/2006/relationships/hyperlink" Target="https://www.sec.gov/Archives/edgar/data/1392326/000119312518070556/d537681dex438.htm" TargetMode="External"/><Relationship Id="rId133" Type="http://schemas.openxmlformats.org/officeDocument/2006/relationships/hyperlink" Target="https://www.sec.gov/Archives/edgar/data/1392326/000119312518070556/d537681dex439.htm" TargetMode="External"/><Relationship Id="rId134" Type="http://schemas.openxmlformats.org/officeDocument/2006/relationships/hyperlink" Target="https://www.sec.gov/Archives/edgar/data/1392326/000119312518070556/d537681dex440.htm" TargetMode="External"/><Relationship Id="rId135" Type="http://schemas.openxmlformats.org/officeDocument/2006/relationships/hyperlink" Target="https://www.sec.gov/Archives/edgar/data/1392326/000119312522123927/d332302dex414.htm" TargetMode="External"/><Relationship Id="rId136" Type="http://schemas.openxmlformats.org/officeDocument/2006/relationships/hyperlink" Target="https://www.sec.gov/Archives/edgar/data/1392326/000089183614000092/ex_99-1.htm" TargetMode="External"/><Relationship Id="rId137" Type="http://schemas.openxmlformats.org/officeDocument/2006/relationships/hyperlink" Target="https://www.sec.gov/Archives/edgar/data/1392326/000095015708000319/form6k.htm" TargetMode="External"/><Relationship Id="rId138" Type="http://schemas.openxmlformats.org/officeDocument/2006/relationships/hyperlink" Target="https://www.sec.gov/Archives/edgar/data/1392326/000095015711000101/ex4-35.htm" TargetMode="External"/><Relationship Id="rId139" Type="http://schemas.openxmlformats.org/officeDocument/2006/relationships/hyperlink" Target="https://www.sec.gov/Archives/edgar/data/1392326/000119312520056321/d891393dex418.htm" TargetMode="External"/><Relationship Id="rId140" Type="http://schemas.openxmlformats.org/officeDocument/2006/relationships/hyperlink" Target="https://www.sec.gov/Archives/edgar/data/1392326/000119312522123927/d332302dex420.htm" TargetMode="External"/><Relationship Id="rId141" Type="http://schemas.openxmlformats.org/officeDocument/2006/relationships/hyperlink" Target="https://www.sec.gov/Archives/edgar/data/1392326/000095015711000101/ex4-36.htm" TargetMode="External"/><Relationship Id="rId142" Type="http://schemas.openxmlformats.org/officeDocument/2006/relationships/hyperlink" Target="https://www.sec.gov/Archives/edgar/data/1392326/000119312521133880/d178393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2023-04-26T13:39:39Z</dcterms:created>
  <dcterms:modified xsi:type="dcterms:W3CDTF">2023-04-26T13:39:39Z</dcterms:modified>
</cp:coreProperties>
</file>